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BD7D" w14:textId="37BAEA29" w:rsidR="008603FB" w:rsidRPr="005143EE" w:rsidRDefault="007C0250" w:rsidP="00735CDE">
      <w:pPr>
        <w:pStyle w:val="BBAuthorName"/>
        <w:rPr>
          <w:rFonts w:ascii="KoPub바탕체 Medium" w:eastAsia="KoPub바탕체 Medium" w:hAnsi="KoPubWorldBatang Light" w:cs="KoPubWorldBatang Light"/>
          <w:sz w:val="34"/>
          <w:szCs w:val="34"/>
          <w:highlight w:val="yellow"/>
          <w:lang w:eastAsia="ko-KR"/>
        </w:rPr>
      </w:pPr>
      <w:r>
        <w:rPr>
          <w:rFonts w:ascii="KoPub바탕체 Medium" w:eastAsia="KoPub바탕체 Medium" w:hAnsi="KoPubWorldBatang Light" w:cs="KoPubWorldBatang Light" w:hint="eastAsia"/>
          <w:sz w:val="34"/>
          <w:szCs w:val="34"/>
          <w:lang w:eastAsia="ko-KR"/>
        </w:rPr>
        <w:t>VHTR</w:t>
      </w:r>
      <w:r w:rsidR="00735CDE">
        <w:rPr>
          <w:rFonts w:ascii="KoPub바탕체 Medium" w:eastAsia="KoPub바탕체 Medium" w:hAnsi="KoPubWorldBatang Light" w:cs="KoPubWorldBatang Light" w:hint="eastAsia"/>
          <w:sz w:val="34"/>
          <w:szCs w:val="34"/>
          <w:lang w:eastAsia="ko-KR"/>
        </w:rPr>
        <w:t>,</w:t>
      </w:r>
      <w:r w:rsidR="00735CDE">
        <w:rPr>
          <w:rFonts w:ascii="KoPub바탕체 Medium" w:eastAsia="KoPub바탕체 Medium" w:hAnsi="KoPubWorldBatang Light" w:cs="KoPubWorldBatang Light"/>
          <w:sz w:val="34"/>
          <w:szCs w:val="34"/>
          <w:lang w:eastAsia="ko-KR"/>
        </w:rPr>
        <w:t xml:space="preserve"> </w:t>
      </w:r>
      <w:r>
        <w:rPr>
          <w:rFonts w:ascii="KoPub바탕체 Medium" w:eastAsia="KoPub바탕체 Medium" w:hAnsi="KoPubWorldBatang Light" w:cs="KoPubWorldBatang Light" w:hint="eastAsia"/>
          <w:sz w:val="34"/>
          <w:szCs w:val="34"/>
          <w:lang w:eastAsia="ko-KR"/>
        </w:rPr>
        <w:t xml:space="preserve">초고온가스로형 원자로의 </w:t>
      </w:r>
      <w:r w:rsidR="00331706">
        <w:rPr>
          <w:rFonts w:ascii="KoPub바탕체 Medium" w:eastAsia="KoPub바탕체 Medium" w:hAnsi="KoPubWorldBatang Light" w:cs="KoPubWorldBatang Light" w:hint="eastAsia"/>
          <w:sz w:val="34"/>
          <w:szCs w:val="34"/>
          <w:lang w:eastAsia="ko-KR"/>
        </w:rPr>
        <w:t>열</w:t>
      </w:r>
      <w:r>
        <w:rPr>
          <w:rFonts w:ascii="KoPub바탕체 Medium" w:eastAsia="KoPub바탕체 Medium" w:hAnsi="KoPubWorldBatang Light" w:cs="KoPubWorldBatang Light" w:hint="eastAsia"/>
          <w:sz w:val="34"/>
          <w:szCs w:val="34"/>
          <w:lang w:eastAsia="ko-KR"/>
        </w:rPr>
        <w:t>전달계통 구조 최적화와</w:t>
      </w:r>
      <w:r>
        <w:rPr>
          <w:rFonts w:ascii="KoPub바탕체 Medium" w:eastAsia="KoPub바탕체 Medium" w:hAnsi="KoPubWorldBatang Light" w:cs="KoPubWorldBatang Light"/>
          <w:sz w:val="34"/>
          <w:szCs w:val="34"/>
          <w:lang w:eastAsia="ko-KR"/>
        </w:rPr>
        <w:t xml:space="preserve"> </w:t>
      </w:r>
      <w:proofErr w:type="spellStart"/>
      <w:r>
        <w:rPr>
          <w:rFonts w:ascii="KoPub바탕체 Medium" w:eastAsia="KoPub바탕체 Medium" w:hAnsi="KoPubWorldBatang Light" w:cs="KoPubWorldBatang Light" w:hint="eastAsia"/>
          <w:sz w:val="34"/>
          <w:szCs w:val="34"/>
          <w:lang w:eastAsia="ko-KR"/>
        </w:rPr>
        <w:t>열응력</w:t>
      </w:r>
      <w:proofErr w:type="spellEnd"/>
      <w:r>
        <w:rPr>
          <w:rFonts w:ascii="KoPub바탕체 Medium" w:eastAsia="KoPub바탕체 Medium" w:hAnsi="KoPubWorldBatang Light" w:cs="KoPubWorldBatang Light" w:hint="eastAsia"/>
          <w:sz w:val="34"/>
          <w:szCs w:val="34"/>
          <w:lang w:eastAsia="ko-KR"/>
        </w:rPr>
        <w:t xml:space="preserve"> 완화 설계</w:t>
      </w:r>
    </w:p>
    <w:p w14:paraId="79BA1D0E" w14:textId="2DBC9C11" w:rsidR="008603FB" w:rsidRPr="00DB05FC" w:rsidRDefault="00472C35" w:rsidP="00E33B64">
      <w:pPr>
        <w:pStyle w:val="BCAuthorAddress"/>
        <w:rPr>
          <w:rFonts w:ascii="KoPub바탕체 Light" w:eastAsia="KoPub바탕체 Light"/>
          <w:sz w:val="26"/>
          <w:szCs w:val="26"/>
        </w:rPr>
      </w:pPr>
      <w:r w:rsidRPr="00DB05FC">
        <w:rPr>
          <w:rFonts w:ascii="KoPub바탕체 Light" w:eastAsia="KoPub바탕체 Light" w:hint="eastAsia"/>
          <w:sz w:val="26"/>
          <w:szCs w:val="26"/>
        </w:rPr>
        <w:t>이동원, 이영준, 최현준</w:t>
      </w:r>
    </w:p>
    <w:p w14:paraId="100DE738" w14:textId="7F6D5D8B" w:rsidR="001452D4" w:rsidRPr="00DB05FC" w:rsidRDefault="001452D4" w:rsidP="001452D4">
      <w:pPr>
        <w:pStyle w:val="BIEmailAddress"/>
        <w:rPr>
          <w:sz w:val="26"/>
          <w:szCs w:val="26"/>
          <w:lang w:eastAsia="ko-KR"/>
        </w:rPr>
      </w:pPr>
      <w:r w:rsidRPr="00DB05FC">
        <w:rPr>
          <w:rFonts w:ascii="KoPub바탕체 Light" w:eastAsia="KoPub바탕체 Light" w:hint="eastAsia"/>
          <w:sz w:val="26"/>
          <w:szCs w:val="26"/>
          <w:lang w:eastAsia="ko-KR"/>
        </w:rPr>
        <w:t>대전대신고등학교 FINDER(KE)</w:t>
      </w:r>
    </w:p>
    <w:p w14:paraId="07271775" w14:textId="77777777" w:rsidR="008603FB" w:rsidRDefault="008603FB" w:rsidP="00D95F0A">
      <w:pPr>
        <w:pStyle w:val="BGKeywords"/>
        <w:rPr>
          <w:rFonts w:ascii="Times New Roman" w:hAnsi="Times New Roman"/>
          <w:iCs/>
          <w:lang w:eastAsia="ko-KR"/>
        </w:rPr>
      </w:pPr>
    </w:p>
    <w:p w14:paraId="14906D60" w14:textId="77777777" w:rsidR="00446AD0" w:rsidRDefault="00446AD0" w:rsidP="00446AD0">
      <w:pPr>
        <w:pStyle w:val="BHBriefs"/>
        <w:rPr>
          <w:lang w:eastAsia="ko-KR"/>
        </w:rPr>
      </w:pPr>
    </w:p>
    <w:p w14:paraId="46EB6FA3" w14:textId="01BB96AF" w:rsidR="00446AD0" w:rsidRPr="00446AD0" w:rsidRDefault="00446AD0" w:rsidP="00446AD0">
      <w:pPr>
        <w:pStyle w:val="BDAbstract"/>
        <w:rPr>
          <w:lang w:eastAsia="ko-KR"/>
        </w:rPr>
        <w:sectPr w:rsidR="00446AD0" w:rsidRPr="00446AD0" w:rsidSect="0059312F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</w:p>
    <w:p w14:paraId="512688F8" w14:textId="6144B77B" w:rsidR="008603FB" w:rsidRPr="00955BFF" w:rsidRDefault="005B7DD9" w:rsidP="00D95F0A">
      <w:pPr>
        <w:pStyle w:val="BDAbstract"/>
        <w:rPr>
          <w:rFonts w:ascii="Times New Roman" w:hAnsi="Times New Roman"/>
          <w:sz w:val="20"/>
          <w:lang w:eastAsia="ko-KR"/>
        </w:rPr>
      </w:pPr>
      <w:r w:rsidRPr="00955BFF">
        <w:rPr>
          <w:rStyle w:val="BDAbstractTitleChar"/>
          <w:rFonts w:ascii="Times New Roman" w:hAnsi="Times New Roman"/>
          <w:sz w:val="20"/>
          <w:lang w:eastAsia="ko-KR"/>
        </w:rPr>
        <w:t>ABSTRACT:</w:t>
      </w:r>
      <w:r w:rsidR="00955BFF" w:rsidRPr="00955BFF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청정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에너지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전환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시대의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핵심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동력원인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초고온가스로형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원자로</w:t>
      </w:r>
      <w:r w:rsidR="007C3D13" w:rsidRPr="007C3D13">
        <w:rPr>
          <w:rFonts w:ascii="Times New Roman" w:hAnsi="Times New Roman" w:hint="eastAsia"/>
          <w:sz w:val="20"/>
          <w:lang w:eastAsia="ko-KR"/>
        </w:rPr>
        <w:t>(VHTR)</w:t>
      </w:r>
      <w:r w:rsidR="007C3D13" w:rsidRPr="007C3D13">
        <w:rPr>
          <w:rFonts w:ascii="Times New Roman" w:hAnsi="Times New Roman" w:hint="eastAsia"/>
          <w:sz w:val="20"/>
          <w:lang w:eastAsia="ko-KR"/>
        </w:rPr>
        <w:t>는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약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900</w:t>
      </w:r>
      <w:r w:rsidR="007C3D13" w:rsidRPr="007C3D13">
        <w:rPr>
          <w:rFonts w:ascii="Times New Roman" w:hAnsi="Times New Roman" w:hint="eastAsia"/>
          <w:sz w:val="20"/>
          <w:lang w:eastAsia="ko-KR"/>
        </w:rPr>
        <w:t>°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C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이상의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고온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안정적으로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제공하여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열화학적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수소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생산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등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="007C3D13" w:rsidRPr="007C3D13">
        <w:rPr>
          <w:rFonts w:ascii="Times New Roman" w:hAnsi="Times New Roman" w:hint="eastAsia"/>
          <w:sz w:val="20"/>
          <w:lang w:eastAsia="ko-KR"/>
        </w:rPr>
        <w:t>비전력</w:t>
      </w:r>
      <w:proofErr w:type="spellEnd"/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분야에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획기적인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활용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잠재력을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갖춘다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.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그러나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이러한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극단적인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고온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환경은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원자로와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외부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이용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설비를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연결하는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열전달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계통</w:t>
      </w:r>
      <w:r w:rsidR="007C3D13" w:rsidRPr="007C3D13">
        <w:rPr>
          <w:rFonts w:ascii="Times New Roman" w:hAnsi="Times New Roman" w:hint="eastAsia"/>
          <w:sz w:val="20"/>
          <w:lang w:eastAsia="ko-KR"/>
        </w:rPr>
        <w:t>(Heat Transport System)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에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심각한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공학적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제약을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야기한다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.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특히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,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고온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배관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및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중간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열교환기</w:t>
      </w:r>
      <w:r w:rsidR="007C3D13" w:rsidRPr="007C3D13">
        <w:rPr>
          <w:rFonts w:ascii="Times New Roman" w:hAnsi="Times New Roman" w:hint="eastAsia"/>
          <w:sz w:val="20"/>
          <w:lang w:eastAsia="ko-KR"/>
        </w:rPr>
        <w:t>(IHX)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에서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헬륨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(He)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냉각재의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순환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및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반복적인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기동</w:t>
      </w:r>
      <w:r w:rsidR="007C3D13" w:rsidRPr="007C3D13">
        <w:rPr>
          <w:rFonts w:ascii="Times New Roman" w:hAnsi="Times New Roman" w:hint="eastAsia"/>
          <w:sz w:val="20"/>
          <w:lang w:eastAsia="ko-KR"/>
        </w:rPr>
        <w:t>-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정지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사이클은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재료의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="007C3D13" w:rsidRPr="007C3D13">
        <w:rPr>
          <w:rFonts w:ascii="Times New Roman" w:hAnsi="Times New Roman" w:hint="eastAsia"/>
          <w:sz w:val="20"/>
          <w:lang w:eastAsia="ko-KR"/>
        </w:rPr>
        <w:t>크리프</w:t>
      </w:r>
      <w:proofErr w:type="spellEnd"/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변형과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열피로를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유발하며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,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배관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="007C3D13" w:rsidRPr="007C3D13">
        <w:rPr>
          <w:rFonts w:ascii="Times New Roman" w:hAnsi="Times New Roman" w:hint="eastAsia"/>
          <w:sz w:val="20"/>
          <w:lang w:eastAsia="ko-KR"/>
        </w:rPr>
        <w:t>곡부와</w:t>
      </w:r>
      <w:proofErr w:type="spellEnd"/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접합부에서의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="007C3D13" w:rsidRPr="007C3D13">
        <w:rPr>
          <w:rFonts w:ascii="Times New Roman" w:hAnsi="Times New Roman" w:hint="eastAsia"/>
          <w:sz w:val="20"/>
          <w:lang w:eastAsia="ko-KR"/>
        </w:rPr>
        <w:t>열응력</w:t>
      </w:r>
      <w:proofErr w:type="spellEnd"/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집중</w:t>
      </w:r>
      <w:r w:rsidR="007C3D13" w:rsidRPr="007C3D13">
        <w:rPr>
          <w:rFonts w:ascii="Times New Roman" w:hAnsi="Times New Roman" w:hint="eastAsia"/>
          <w:sz w:val="20"/>
          <w:lang w:eastAsia="ko-KR"/>
        </w:rPr>
        <w:t>(Thermal Stress Concentration)</w:t>
      </w:r>
      <w:r w:rsidR="007C3D13" w:rsidRPr="007C3D13">
        <w:rPr>
          <w:rFonts w:ascii="Times New Roman" w:hAnsi="Times New Roman" w:hint="eastAsia"/>
          <w:sz w:val="20"/>
          <w:lang w:eastAsia="ko-KR"/>
        </w:rPr>
        <w:t>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시스템의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구조적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건전성과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장기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운전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수명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확보에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있어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근본적인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걸림돌로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작용한다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.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연구는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VHTR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열전달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계통의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구조적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취약점을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근원적으로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해소하기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위한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체계적이고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혁신적인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설계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패러다임을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제안한다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.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구체적으로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, </w:t>
      </w:r>
      <w:proofErr w:type="spellStart"/>
      <w:r w:rsidR="007C3D13" w:rsidRPr="007C3D13">
        <w:rPr>
          <w:rFonts w:ascii="Times New Roman" w:hAnsi="Times New Roman" w:hint="eastAsia"/>
          <w:sz w:val="20"/>
          <w:lang w:eastAsia="ko-KR"/>
        </w:rPr>
        <w:t>열유체</w:t>
      </w:r>
      <w:proofErr w:type="spellEnd"/>
      <w:r w:rsidR="007C3D13" w:rsidRPr="007C3D13">
        <w:rPr>
          <w:rFonts w:ascii="Times New Roman" w:hAnsi="Times New Roman" w:hint="eastAsia"/>
          <w:sz w:val="20"/>
          <w:lang w:eastAsia="ko-KR"/>
        </w:rPr>
        <w:t>-</w:t>
      </w:r>
      <w:r w:rsidR="007C3D13" w:rsidRPr="007C3D13">
        <w:rPr>
          <w:rFonts w:ascii="Times New Roman" w:hAnsi="Times New Roman" w:hint="eastAsia"/>
          <w:sz w:val="20"/>
          <w:lang w:eastAsia="ko-KR"/>
        </w:rPr>
        <w:t>구조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연성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해석</w:t>
      </w:r>
      <w:r w:rsidR="007C3D13" w:rsidRPr="007C3D13">
        <w:rPr>
          <w:rFonts w:ascii="Times New Roman" w:hAnsi="Times New Roman" w:hint="eastAsia"/>
          <w:sz w:val="20"/>
          <w:lang w:eastAsia="ko-KR"/>
        </w:rPr>
        <w:t>(FSI)</w:t>
      </w:r>
      <w:r w:rsidR="007C3D13" w:rsidRPr="007C3D13">
        <w:rPr>
          <w:rFonts w:ascii="Times New Roman" w:hAnsi="Times New Roman" w:hint="eastAsia"/>
          <w:sz w:val="20"/>
          <w:lang w:eastAsia="ko-KR"/>
        </w:rPr>
        <w:t>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통해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고온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유동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특성을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정밀하게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분석하고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,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위상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최적화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(Topology Optimization)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기법을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적용하여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열전달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효율과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기계적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강성을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동시에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극대화하는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최적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형상을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도출한다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.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더불어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, </w:t>
      </w:r>
      <w:proofErr w:type="spellStart"/>
      <w:r w:rsidR="007C3D13" w:rsidRPr="007C3D13">
        <w:rPr>
          <w:rFonts w:ascii="Times New Roman" w:hAnsi="Times New Roman" w:hint="eastAsia"/>
          <w:sz w:val="20"/>
          <w:lang w:eastAsia="ko-KR"/>
        </w:rPr>
        <w:t>플렉시블</w:t>
      </w:r>
      <w:proofErr w:type="spellEnd"/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루프</w:t>
      </w:r>
      <w:r w:rsidR="007C3D13" w:rsidRPr="007C3D13">
        <w:rPr>
          <w:rFonts w:ascii="Times New Roman" w:hAnsi="Times New Roman" w:hint="eastAsia"/>
          <w:sz w:val="20"/>
          <w:lang w:eastAsia="ko-KR"/>
        </w:rPr>
        <w:t>(Flexible Loop)</w:t>
      </w:r>
      <w:r w:rsidR="007C3D13" w:rsidRPr="007C3D13">
        <w:rPr>
          <w:rFonts w:ascii="Times New Roman" w:hAnsi="Times New Roman" w:hint="eastAsia"/>
          <w:sz w:val="20"/>
          <w:lang w:eastAsia="ko-KR"/>
        </w:rPr>
        <w:t>와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="007C3D13" w:rsidRPr="007C3D13">
        <w:rPr>
          <w:rFonts w:ascii="Times New Roman" w:hAnsi="Times New Roman" w:hint="eastAsia"/>
          <w:sz w:val="20"/>
          <w:lang w:eastAsia="ko-KR"/>
        </w:rPr>
        <w:t>열차폐</w:t>
      </w:r>
      <w:proofErr w:type="spellEnd"/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코팅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(TBC)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기술을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결합한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선제적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="007C3D13" w:rsidRPr="007C3D13">
        <w:rPr>
          <w:rFonts w:ascii="Times New Roman" w:hAnsi="Times New Roman" w:hint="eastAsia"/>
          <w:sz w:val="20"/>
          <w:lang w:eastAsia="ko-KR"/>
        </w:rPr>
        <w:t>열응력</w:t>
      </w:r>
      <w:proofErr w:type="spellEnd"/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완화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설계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개념을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통합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제시함으로써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,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극한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환경에서의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구조물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파손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가능성을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최소화한다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.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연구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결과는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VHTR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시스템의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운전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신뢰성을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획기적으로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향상시키고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,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초고온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원자로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기술의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상용화를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위한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핵심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공학적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기반을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제공하여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미래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청정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에너지원의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안정적인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공급에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기여할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것으로</w:t>
      </w:r>
      <w:r w:rsidR="007C3D13" w:rsidRPr="007C3D13">
        <w:rPr>
          <w:rFonts w:ascii="Times New Roman" w:hAnsi="Times New Roman" w:hint="eastAsia"/>
          <w:sz w:val="20"/>
          <w:lang w:eastAsia="ko-KR"/>
        </w:rPr>
        <w:t xml:space="preserve"> </w:t>
      </w:r>
      <w:r w:rsidR="007C3D13" w:rsidRPr="007C3D13">
        <w:rPr>
          <w:rFonts w:ascii="Times New Roman" w:hAnsi="Times New Roman" w:hint="eastAsia"/>
          <w:sz w:val="20"/>
          <w:lang w:eastAsia="ko-KR"/>
        </w:rPr>
        <w:t>기대된다</w:t>
      </w:r>
      <w:r w:rsidR="007C3D13" w:rsidRPr="007C3D13">
        <w:rPr>
          <w:rFonts w:ascii="Times New Roman" w:hAnsi="Times New Roman" w:hint="eastAsia"/>
          <w:sz w:val="20"/>
          <w:lang w:eastAsia="ko-KR"/>
        </w:rPr>
        <w:t>.</w:t>
      </w:r>
    </w:p>
    <w:p w14:paraId="0C9B88CC" w14:textId="32FED901" w:rsidR="00D9551E" w:rsidRPr="00A63045" w:rsidRDefault="00FF51FC" w:rsidP="00D9551E">
      <w:pPr>
        <w:pStyle w:val="SectionTitle"/>
        <w:rPr>
          <w:rFonts w:ascii="Times New Roman" w:hAnsi="Times New Roman"/>
          <w:sz w:val="20"/>
          <w:szCs w:val="20"/>
          <w:highlight w:val="yellow"/>
          <w:lang w:eastAsia="ko-KR"/>
        </w:rPr>
      </w:pPr>
      <w:r w:rsidRPr="00FF51FC">
        <w:rPr>
          <w:rFonts w:ascii="Times New Roman" w:hAnsi="Times New Roman" w:hint="eastAsia"/>
          <w:sz w:val="20"/>
          <w:szCs w:val="20"/>
          <w:lang w:eastAsia="ko-KR"/>
        </w:rPr>
        <w:t>서론</w:t>
      </w:r>
      <w:r w:rsidRPr="00FF51FC">
        <w:rPr>
          <w:rFonts w:ascii="Times New Roman" w:hAnsi="Times New Roman" w:hint="eastAsia"/>
          <w:sz w:val="20"/>
          <w:szCs w:val="20"/>
          <w:lang w:eastAsia="ko-KR"/>
        </w:rPr>
        <w:t xml:space="preserve"> (Introduction)</w:t>
      </w:r>
    </w:p>
    <w:p w14:paraId="309298F3" w14:textId="3DE675AA" w:rsidR="00FF51FC" w:rsidRDefault="00423A38" w:rsidP="00423A38">
      <w:pPr>
        <w:pStyle w:val="SectionTitle"/>
        <w:rPr>
          <w:rFonts w:ascii="Times New Roman" w:hAnsi="Times New Roman"/>
          <w:sz w:val="20"/>
          <w:szCs w:val="20"/>
          <w:highlight w:val="yellow"/>
          <w:lang w:eastAsia="ko-KR"/>
        </w:rPr>
      </w:pP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현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인류는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화석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기반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에너지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시스템이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야기하는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기후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변화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위협에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직면하며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탄소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중립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사회로의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패러다임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전환을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필수적으로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요구받고</w:t>
      </w:r>
      <w:proofErr w:type="spellEnd"/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있다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이러한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거대한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전환의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핵심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축으로서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원자력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에너지는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전력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생산을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넘어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산업용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공급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등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비전력</w:t>
      </w:r>
      <w:proofErr w:type="spellEnd"/>
      <w:r w:rsidRPr="00423A38"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분야로의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활용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범위를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확대하며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그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존재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가치를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재정립하고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있다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특히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초고온가스로형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원자로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(Very High Temperature Reactor, VHTR)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900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C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이상의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열을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안정적으로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제공할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있는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4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세대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원자로의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선두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주자로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황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-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요오드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(Sulfur-Iodine, S-I)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사이클과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같은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열화학적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공정과의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연계를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궁극적인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그린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경제를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실현할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잠재력을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내포하고</w:t>
      </w:r>
      <w:r w:rsidRPr="00FF51FC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있다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  <w:r w:rsidR="00FF51FC" w:rsidRPr="003F2234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VHTR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은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환경에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대응하기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위해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안전성이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탁월한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TRISO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연료와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화학적으로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비활성인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헬륨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(He)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냉각재를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채택하지만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, 900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C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육박하는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초고온의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열을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원자로에서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외부의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이용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설비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예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: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열화학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반응기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헬륨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가스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터빈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)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전달하는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(Heat Transport System)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은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극심한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공학적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제약에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직면한다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계통은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열교환기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(IHX)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와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미터에</w:t>
      </w:r>
      <w:proofErr w:type="spellEnd"/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달하는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배관으로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구성되는데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운전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조건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하에서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발생하는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재료의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크리프</w:t>
      </w:r>
      <w:proofErr w:type="spellEnd"/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(Creep)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변형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반복적인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기동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/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정지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사이클에서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발생하는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열피로</w:t>
      </w:r>
      <w:proofErr w:type="spellEnd"/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(Thermal Fatigue)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현상은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구조물의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열응력</w:t>
      </w:r>
      <w:proofErr w:type="spellEnd"/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(Thermal Stress)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을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치명적인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수준으로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증폭시킨다</w:t>
      </w:r>
      <w:r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  <w:r w:rsidR="003F2234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취약점은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VHTR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시스템의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운전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신뢰성과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장기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수명을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저해하는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근본적인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요소로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작용한다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특히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배관의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곡부</w:t>
      </w:r>
      <w:proofErr w:type="spellEnd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(Elbow)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열교환기의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튜브시트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접합부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등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불연속적인</w:t>
      </w:r>
      <w:proofErr w:type="spellEnd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기하학적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형상을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가진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영역에서는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국부적인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응력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집중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(Stress Concentration)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발생하기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쉬우며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궁극적으로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냉각재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누출과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같은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중대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사고로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이어질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있다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선행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연구들은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재료의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개발에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집중하였으나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본질적으로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팽창이라는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물리적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현상에서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기인하는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열응력</w:t>
      </w:r>
      <w:proofErr w:type="spellEnd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문제를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차원에서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근원적으로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해소하는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방안에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체계적이고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통합적인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접근은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여전히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미흡한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실정이다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따라서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시스템의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내구성과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안전성을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획기적으로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제고하기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위해서는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환경에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패러다임을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수립하는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것이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필수적인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공학적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당위성을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지닌다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  <w:r w:rsidR="003F2234" w:rsidRPr="003F2234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연구는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VHTR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계통이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직면한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건전성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문제를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정면으로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다루며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역학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공학에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기반한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혁신적인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해법을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제시하는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것을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목표로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한다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구체적으로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열유체</w:t>
      </w:r>
      <w:proofErr w:type="spellEnd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-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연성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해석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(FSI)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내부의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복잡한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응력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분포를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정밀하게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분석하고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위상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(Topology Optimization)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기법을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활용하여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효율과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안정성을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극대화하는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열교환기의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형상을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도출하고자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한다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나아가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플렉시블</w:t>
      </w:r>
      <w:proofErr w:type="spellEnd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조인트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(Flexible Joint)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차폐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기술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(TBC)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등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선제적인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열응력</w:t>
      </w:r>
      <w:proofErr w:type="spellEnd"/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완화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(Mitigation Design)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개념을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통합하여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반복적인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열사이클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하에서도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파손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없이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장기간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안정적으로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작동할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강건한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(Robust)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시스템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제안할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것이다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본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연구는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VHTR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상용화를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위한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핵심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기술을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확보하고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나아가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초고온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환경에서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운전되는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모든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산업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설비의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건전성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확보에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기여하는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학술적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토대를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마련할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것으로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기대된다</w:t>
      </w:r>
      <w:r w:rsidR="003F2234" w:rsidRPr="003F2234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0FE7CD84" w14:textId="111CFA6B" w:rsidR="00FF51FC" w:rsidRDefault="008F70BA" w:rsidP="00423A38">
      <w:pPr>
        <w:pStyle w:val="SectionTitle"/>
        <w:rPr>
          <w:rFonts w:ascii="Times New Roman" w:hAnsi="Times New Roman"/>
          <w:sz w:val="20"/>
          <w:szCs w:val="20"/>
          <w:highlight w:val="yellow"/>
          <w:lang w:eastAsia="ko-KR"/>
        </w:rPr>
      </w:pPr>
      <w:r>
        <w:rPr>
          <w:noProof/>
        </w:rPr>
        <w:lastRenderedPageBreak/>
        <w:drawing>
          <wp:inline distT="0" distB="0" distL="0" distR="0" wp14:anchorId="477C8551" wp14:editId="3CF26C4E">
            <wp:extent cx="3044825" cy="2983865"/>
            <wp:effectExtent l="0" t="0" r="3175" b="698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6C7" w:rsidRPr="002E26C7">
        <w:rPr>
          <w:noProof/>
        </w:rPr>
        <w:t xml:space="preserve"> </w:t>
      </w:r>
      <w:r w:rsidR="002E26C7">
        <w:rPr>
          <w:noProof/>
        </w:rPr>
        <w:drawing>
          <wp:inline distT="0" distB="0" distL="0" distR="0" wp14:anchorId="49F36148" wp14:editId="4A691B86">
            <wp:extent cx="3044825" cy="2424430"/>
            <wp:effectExtent l="0" t="0" r="317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A852F" w14:textId="420CDC78" w:rsidR="0053010F" w:rsidRPr="0053010F" w:rsidRDefault="0053010F" w:rsidP="0053010F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>배경</w:t>
      </w:r>
      <w:r>
        <w:rPr>
          <w:rFonts w:ascii="Times New Roman" w:hAnsi="Times New Roman" w:hint="eastAsia"/>
          <w:sz w:val="20"/>
          <w:szCs w:val="20"/>
          <w:lang w:eastAsia="ko-KR"/>
        </w:rPr>
        <w:t>(Background)</w:t>
      </w:r>
    </w:p>
    <w:p w14:paraId="12D05440" w14:textId="440B15AA" w:rsidR="009D0EE5" w:rsidRPr="00FF51FC" w:rsidRDefault="009D0EE5" w:rsidP="00423A38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초고온가스로형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(Very High Temperature Reactor, VHTR)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950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C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이상의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헬륨가스를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이용해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없이도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열화학적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가능한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4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세대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(Generation IV Reactor)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한국원자력연구원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(KAERI)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2030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년까지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10 MW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급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VHTR </w:t>
      </w:r>
      <w:proofErr w:type="spell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실증로</w:t>
      </w:r>
      <w:proofErr w:type="spellEnd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(VHTR-10)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개발을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목표로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하고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있으며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기술은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열에너지를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산업·수소</w:t>
      </w:r>
      <w:proofErr w:type="spellEnd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공정에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직접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공급할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있다는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점에서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탄소중립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시대의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핵심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에너지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기술로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주목받고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현재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한국의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전력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중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61%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화석연료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석탄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+ LNG)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의존하고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있으며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국내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97%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이상이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천연가스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개질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(Steam Methane Reforming, SMR)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방식으로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이루어진다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과정에서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배출되는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이산화탄소는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1,200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만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산업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배출의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3%</w:t>
      </w:r>
      <w:proofErr w:type="gram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</w:t>
      </w:r>
      <w:proofErr w:type="gramEnd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이른다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, VHTR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이용한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S-I (Sulfur-Iodine)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사이클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화석연료를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사용하지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않고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원자로가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생산한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950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C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헬륨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열만으로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수소를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생성하기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때문에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CO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₂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배출량이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사실상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0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수렴한다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 VHTR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기본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구조는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핵연료봉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(TRISO Fuel</w:t>
      </w:r>
      <w:proofErr w:type="gram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에서</w:t>
      </w:r>
      <w:proofErr w:type="gramEnd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발생한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헬륨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(He)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냉각재가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운반하고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이를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중간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열교환기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(Intermediate Heat Exchanger, IHX)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수소생산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반응기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(S-I Cycle Reactor)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전달하는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형태이다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이때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헬륨은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 MPa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압력과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900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–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1000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C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온도에서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순환하며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핵연료→냉각재→열교환기→반응기로</w:t>
      </w:r>
      <w:proofErr w:type="spellEnd"/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이어지는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경로에서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고온·고압·반복</w:t>
      </w:r>
      <w:proofErr w:type="spellEnd"/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열사이클에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의한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열응력</w:t>
      </w:r>
      <w:proofErr w:type="spellEnd"/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>(thermal stress)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과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열손실이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발생한다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금속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>-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세라믹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복합소재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(Inconel 617, </w:t>
      </w:r>
      <w:proofErr w:type="spellStart"/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>SiC</w:t>
      </w:r>
      <w:proofErr w:type="spellEnd"/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>/</w:t>
      </w:r>
      <w:proofErr w:type="spellStart"/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>SiC</w:t>
      </w:r>
      <w:proofErr w:type="spellEnd"/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등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>)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열팽창계수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차이가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크기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때문에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반복적인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가열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>-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과정에서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응력집중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(σ = E α ΔT)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현상이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심화된다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예를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들어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Inconel 617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열팽창계수는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13 × 10⁻⁶ /K, </w:t>
      </w:r>
      <w:proofErr w:type="spellStart"/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>SiC</w:t>
      </w:r>
      <w:proofErr w:type="spellEnd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4 × 10⁻⁶ /K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로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3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차이가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난다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이로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인해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열사이클</w:t>
      </w:r>
      <w:r w:rsidRPr="009D0EE5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반복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접합부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최대응력은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200 MPa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이상으로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상승하며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내구수명이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15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이하로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단축될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있음이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보고되었다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또한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KAERI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시뮬레이션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결과에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따르면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고온부</w:t>
      </w:r>
      <w:proofErr w:type="spellEnd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(950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C)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에서의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열손실율은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18%,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냉각계통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내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온도불균형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</w:t>
      </w:r>
      <w:proofErr w:type="spell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T)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은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200 K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이상에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달한다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이는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전체</w:t>
      </w:r>
      <w:r w:rsidRPr="009D0EE5">
        <w:rPr>
          <w:rFonts w:ascii="Times New Roman" w:hAnsi="Times New Roman" w:hint="eastAsia"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시스템의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수소생산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효율을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10%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이상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저감시키는</w:t>
      </w:r>
      <w:proofErr w:type="spellEnd"/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주요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원인으로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지적된다</w:t>
      </w:r>
      <w:r w:rsidRPr="009D0EE5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  <w:r w:rsidR="002E26C7" w:rsidRPr="002E26C7">
        <w:rPr>
          <w:noProof/>
          <w:lang w:eastAsia="ko-KR"/>
        </w:rPr>
        <w:t xml:space="preserve"> </w:t>
      </w:r>
      <w:r w:rsidR="002E26C7">
        <w:rPr>
          <w:noProof/>
        </w:rPr>
        <w:drawing>
          <wp:inline distT="0" distB="0" distL="0" distR="0" wp14:anchorId="74F26365" wp14:editId="49FEABFF">
            <wp:extent cx="3044825" cy="3143250"/>
            <wp:effectExtent l="0" t="0" r="317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E2825" w14:textId="22102A53" w:rsidR="00D00398" w:rsidRPr="0053010F" w:rsidRDefault="00D00398" w:rsidP="00D00398">
      <w:pPr>
        <w:pStyle w:val="SectionTitle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 w:hint="eastAsia"/>
          <w:sz w:val="20"/>
          <w:szCs w:val="20"/>
          <w:lang w:eastAsia="ko-KR"/>
        </w:rPr>
        <w:t>결과</w:t>
      </w:r>
      <w:r>
        <w:rPr>
          <w:rFonts w:ascii="Times New Roman" w:hAnsi="Times New Roman" w:hint="eastAsia"/>
          <w:sz w:val="20"/>
          <w:szCs w:val="20"/>
          <w:lang w:eastAsia="ko-KR"/>
        </w:rPr>
        <w:t>(Results)</w:t>
      </w:r>
    </w:p>
    <w:p w14:paraId="2AE11F5B" w14:textId="73694830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1.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모듈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</w:p>
    <w:p w14:paraId="197CB51C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모듈은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TRISO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입자형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기반으로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설계하였으며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핵연료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코어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직경은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0.5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총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입자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직경은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0.9 mm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입자는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PyC-SiC-PyC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코팅층을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적용하여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고온에서도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붕괴를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방지하고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열전도성을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코팅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두께는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PyC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0.05 mm,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SiC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0.07 mm,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PyC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0.05 mm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설정하였다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모듈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사이에는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Ni-Cr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lastRenderedPageBreak/>
        <w:t>합금으로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제작된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격자재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두께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4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높이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500 mm)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배치하여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흐름을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균일화하였다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격자재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핵심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변수는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두께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표면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거칠기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각도였다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CFD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시뮬레이션을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격자재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배치와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채널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각도를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결과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국부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편차를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±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15 K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이내로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유지할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있었다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반복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열사이클에서도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모듈의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안정성을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확보하였으며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코어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주변의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흐름이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균일하게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분포하도록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모듈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VHTR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안정성과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효율성에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직접적인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영향을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미치는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핵심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요소로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후속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마이크로채널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IHX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핫덕트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기초가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된다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15727635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2.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열교환기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</w:p>
    <w:p w14:paraId="632D8DE4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냉각재로는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헬륨을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선택하였으며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초기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유속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5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–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20 m/s,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압력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 MPa,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입구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950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C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기준으로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성능을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평가하였다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열교환기는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체적당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표면적을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극대화한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마이크로채널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채널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폭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0.8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깊이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2.5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길이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150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표면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거칠기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5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μ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유속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12 m/s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h=780 W/m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²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K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달성하였다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마이크로채널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Fourier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법칙과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방정식으로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모델링하였다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2D94E269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𝑄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=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𝑘</w:t>
      </w:r>
      <w:r w:rsidRPr="00A71136">
        <w:rPr>
          <w:rFonts w:ascii="MS Mincho" w:eastAsia="MS Mincho" w:hAnsi="MS Mincho" w:cs="MS Mincho" w:hint="eastAsia"/>
          <w:b w:val="0"/>
          <w:bCs/>
          <w:sz w:val="20"/>
          <w:szCs w:val="20"/>
          <w:lang w:eastAsia="ko-KR"/>
        </w:rPr>
        <w:t>⋅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𝐴</w:t>
      </w:r>
      <w:r w:rsidRPr="00A71136">
        <w:rPr>
          <w:rFonts w:ascii="MS Mincho" w:eastAsia="MS Mincho" w:hAnsi="MS Mincho" w:cs="MS Mincho" w:hint="eastAsia"/>
          <w:b w:val="0"/>
          <w:bCs/>
          <w:sz w:val="20"/>
          <w:szCs w:val="20"/>
          <w:lang w:eastAsia="ko-KR"/>
        </w:rPr>
        <w:t>⋅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Δ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𝑇𝑑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+ℎ</w:t>
      </w:r>
      <w:r w:rsidRPr="00A71136">
        <w:rPr>
          <w:rFonts w:ascii="MS Mincho" w:eastAsia="MS Mincho" w:hAnsi="MS Mincho" w:cs="MS Mincho" w:hint="eastAsia"/>
          <w:b w:val="0"/>
          <w:bCs/>
          <w:sz w:val="20"/>
          <w:szCs w:val="20"/>
          <w:lang w:eastAsia="ko-KR"/>
        </w:rPr>
        <w:t>⋅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𝑃</w:t>
      </w:r>
      <w:r w:rsidRPr="00A71136">
        <w:rPr>
          <w:rFonts w:ascii="MS Mincho" w:eastAsia="MS Mincho" w:hAnsi="MS Mincho" w:cs="MS Mincho" w:hint="eastAsia"/>
          <w:b w:val="0"/>
          <w:bCs/>
          <w:sz w:val="20"/>
          <w:szCs w:val="20"/>
          <w:lang w:eastAsia="ko-KR"/>
        </w:rPr>
        <w:t>⋅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Δ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𝑇</w:t>
      </w:r>
    </w:p>
    <w:p w14:paraId="63F6E163" w14:textId="77777777" w:rsidR="00D00398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여기서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k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, A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전달면적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, d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유효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열이동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거리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, h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, P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채널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둘레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T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온도차이다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식을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채널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폭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깊이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각도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변화가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효율과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압력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강하에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미치는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영향을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정량적으로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평가하였다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 [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그림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1]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마이크로채널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IHX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유동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방향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예시를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포함하였다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VHTR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열교환기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효율과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압력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강하를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동시에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달성하였다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67B79385" w14:textId="0A25B755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3.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핫덕트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</w:p>
    <w:p w14:paraId="08A34CCB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핫덕트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고온부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배관에서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발생하는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열손실과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열응력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완화를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목표로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이중관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진공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재킷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다층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단열재를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적용하였으며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직경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50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길이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2 m,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열교량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최소화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근거리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수행하였다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CFD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시뮬레이션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결과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배치에서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T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150 K,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열손실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12%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수준이었다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열손실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최소화뿐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아니라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열응력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완화에도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기여하였다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내외부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온도차가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커도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단열층과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진공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재킷이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T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따른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응력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σ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=E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αΔ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T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분산시켰다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열응력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완화는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재료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선택과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병행하여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기능성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구배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재료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(FGM)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접합부에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적용하고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벨로즈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슬라이딩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서포트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응력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완화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슬롯을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배치하였다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-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연성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방정식은</w:t>
      </w:r>
    </w:p>
    <w:p w14:paraId="6C6722F8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∇</w:t>
      </w:r>
      <w:r w:rsidRPr="00A71136">
        <w:rPr>
          <w:rFonts w:ascii="MS Mincho" w:eastAsia="MS Mincho" w:hAnsi="MS Mincho" w:cs="MS Mincho" w:hint="eastAsia"/>
          <w:b w:val="0"/>
          <w:bCs/>
          <w:sz w:val="20"/>
          <w:szCs w:val="20"/>
          <w:lang w:eastAsia="ko-KR"/>
        </w:rPr>
        <w:t>⋅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𝜎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+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𝐹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=0, 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𝜎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=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𝐶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:(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𝜖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−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𝜖𝑇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 xml:space="preserve">), 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𝜖𝑇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=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𝛼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Δ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𝑇</w:t>
      </w:r>
    </w:p>
    <w:p w14:paraId="0DACA8D8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으로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표현되며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반복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열사이클에서도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접합부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σ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max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180 MPa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이하로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유지하였다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 [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그림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2]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핫덕트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열손실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완화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경로를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시각화하였다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362FDBCA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4.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변수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민감도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분석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</w:t>
      </w:r>
    </w:p>
    <w:p w14:paraId="650F926C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마이크로채널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폭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(W),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깊이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(H),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길이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(L),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표면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거칠기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(Ra),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유속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(V),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격자재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두께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Tg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),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접합부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인터레이어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두께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Ti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),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단열층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(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Nl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)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등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요소에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민감도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분석과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DoE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수행하였다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목표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함수는</w:t>
      </w:r>
    </w:p>
    <w:p w14:paraId="0C3FF732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𝑓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=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𝑤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1Δ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𝑇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+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𝑤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2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𝜎𝑚𝑎𝑥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+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𝑤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3Δ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𝑃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−</w:t>
      </w:r>
      <w:r w:rsidRPr="00A71136">
        <w:rPr>
          <w:rFonts w:ascii="Cambria Math" w:hAnsi="Cambria Math" w:cs="Cambria Math"/>
          <w:b w:val="0"/>
          <w:bCs/>
          <w:sz w:val="20"/>
          <w:szCs w:val="20"/>
          <w:lang w:eastAsia="ko-KR"/>
        </w:rPr>
        <w:t>𝑤</w:t>
      </w:r>
      <w:r w:rsidRPr="00A71136">
        <w:rPr>
          <w:rFonts w:ascii="Times New Roman" w:hAnsi="Times New Roman"/>
          <w:b w:val="0"/>
          <w:bCs/>
          <w:sz w:val="20"/>
          <w:szCs w:val="20"/>
          <w:lang w:eastAsia="ko-KR"/>
        </w:rPr>
        <w:t>4ℎ   ​</w:t>
      </w:r>
    </w:p>
    <w:p w14:paraId="11C25C57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으로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설정하였다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결과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마이크로채널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폭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W=0.8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깊이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H=2.5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길이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L=150 mm,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표면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거칠기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Ra=5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μ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유속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V=12 m/s,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격자재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두께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Tg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=4 mm,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인터레이어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Ti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=1 mm,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단열층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Nl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=3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층으로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결정되었으며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T 15 K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σ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max 180 MPa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압력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강하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3.2 kPa,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h=780 W/m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²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K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조건을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만족하였다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과정에서는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4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차원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격자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탐색과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Response Surface Methodology(RSM)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결합하여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공간을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정의하였으며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변수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상호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영향을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정량적으로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평가하였다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5873E282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5. CFD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열유체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해석</w:t>
      </w:r>
    </w:p>
    <w:p w14:paraId="70C5749C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조건을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바탕으로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ANSYS Fluent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이용한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3D CFD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해석을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수행하였다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입구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유속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12 m/s,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압력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 MPa,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입구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950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C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조건에서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헬륨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물성치의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의존성을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반영하고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난류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모델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k-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ω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SST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해석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결과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마이크로채널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내부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평균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948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–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963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C,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T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15 K,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핫덕트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표면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910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–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930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C,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열손실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12%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평가되었다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유속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분석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결과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채널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입구에서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약간의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비균일성이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있었으나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격자재와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채널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각도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최적화로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구간에서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흐름을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균일하게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유지하였다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VHTR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계통에서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온도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안정성과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균일성을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36E1EA22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6.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-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연성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(FSI)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해석</w:t>
      </w:r>
    </w:p>
    <w:p w14:paraId="13DFDDF1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ANSYS Mechanical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Fluent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연계를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FSI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해석을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수행하였다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접합부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응력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180 MPa,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핫덕트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곡부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160 MPa,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직선부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90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–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120 MPa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평가되었다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응력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완화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(FGM,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인터레이어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벨로즈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슬롯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)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응력이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약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15~20%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분산되었으며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반복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열사이클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10,000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기준으로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안정성을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구간별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열·구조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성능은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아래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표와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같다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7DD19AD1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 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T (K)  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σ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max (MPa)  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P (kPa)   h (W/m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²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K)</w:t>
      </w:r>
    </w:p>
    <w:p w14:paraId="6D2D3C55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마이크로채널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IHX   15   180   3.2   780</w:t>
      </w:r>
    </w:p>
    <w:p w14:paraId="7B70852F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핫덕트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곡부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  18   160   0.8   -</w:t>
      </w:r>
    </w:p>
    <w:p w14:paraId="26B2431A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배관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직선부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  12   110   1.2   -</w:t>
      </w:r>
    </w:p>
    <w:p w14:paraId="1FC50CFF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lastRenderedPageBreak/>
        <w:t>접합부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  10   150   -   -</w:t>
      </w:r>
    </w:p>
    <w:p w14:paraId="6C62A6BF" w14:textId="77777777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7.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피동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안전계통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및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모듈러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세그먼트</w:t>
      </w:r>
    </w:p>
    <w:p w14:paraId="75608E53" w14:textId="1FA3D9E3" w:rsidR="00792521" w:rsidRPr="00A71136" w:rsidRDefault="00792521" w:rsidP="00792521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비정상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상태에서도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신뢰성을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확보하기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위해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자연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루프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복사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방출층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내부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열저장재를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포함한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피동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경로를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피동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T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180 K,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σ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max 160 MPa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개선되었으며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외부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전원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없이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열방출이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가능하다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또한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핫덕트와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IHX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모듈러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세그먼트로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설계하여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유지보수성과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확장성을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세그먼트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길이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0.5 m,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접합부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볼트식·플렉시블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조인트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곡부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최소화로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Δ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T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σ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max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감소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효과를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확인하였다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 [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그림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3]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에는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피동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냉각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루프와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모듈러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세그먼트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적용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구조를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도식화하였다</w:t>
      </w:r>
      <w:proofErr w:type="spellEnd"/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통해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VHTR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열전달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계통의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실증적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기준과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운전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안정성을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확보하였다</w:t>
      </w:r>
      <w:r w:rsidRPr="00A71136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3CD7E121" w14:textId="77777777" w:rsidR="000C2A8F" w:rsidRPr="005B74D4" w:rsidRDefault="000C2A8F" w:rsidP="000C2A8F">
      <w:pPr>
        <w:spacing w:after="0"/>
        <w:rPr>
          <w:rFonts w:ascii="Arno Pro" w:hAnsi="Arno Pro"/>
          <w:bCs/>
          <w:sz w:val="19"/>
          <w:szCs w:val="19"/>
          <w:highlight w:val="yellow"/>
          <w:lang w:eastAsia="ko-KR"/>
        </w:rPr>
      </w:pPr>
    </w:p>
    <w:p w14:paraId="40E47FE9" w14:textId="5E89DA62" w:rsidR="000C2A8F" w:rsidRPr="005B74D4" w:rsidRDefault="000C2A8F" w:rsidP="000C2A8F">
      <w:pPr>
        <w:pStyle w:val="VDTableTitle"/>
        <w:rPr>
          <w:b w:val="0"/>
          <w:bCs/>
          <w:lang w:eastAsia="ko-K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83"/>
        <w:gridCol w:w="1283"/>
        <w:gridCol w:w="1283"/>
        <w:gridCol w:w="1283"/>
        <w:gridCol w:w="1283"/>
        <w:gridCol w:w="1283"/>
        <w:gridCol w:w="1283"/>
        <w:gridCol w:w="1283"/>
      </w:tblGrid>
      <w:tr w:rsidR="000C2A8F" w14:paraId="4E928449" w14:textId="77777777" w:rsidTr="003B0FB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999450A" w14:textId="77777777" w:rsidR="005227DF" w:rsidRDefault="00B7772E" w:rsidP="003B0FB6">
            <w:pPr>
              <w:pStyle w:val="TCTableBody"/>
              <w:rPr>
                <w:rFonts w:ascii="Times New Roman" w:hAnsi="Times New Roman"/>
                <w:bCs/>
                <w:lang w:eastAsia="ko-KR"/>
              </w:rPr>
            </w:pPr>
            <w:r>
              <w:rPr>
                <w:rFonts w:ascii="Times New Roman" w:hAnsi="Times New Roman" w:hint="eastAsia"/>
                <w:bCs/>
                <w:lang w:eastAsia="ko-KR"/>
              </w:rPr>
              <w:t>구간</w:t>
            </w:r>
            <w:r>
              <w:rPr>
                <w:rFonts w:ascii="Times New Roman" w:hAnsi="Times New Roman" w:hint="eastAsia"/>
                <w:bCs/>
                <w:lang w:eastAsia="ko-KR"/>
              </w:rPr>
              <w:t xml:space="preserve"> </w:t>
            </w:r>
          </w:p>
          <w:p w14:paraId="190BEE14" w14:textId="3CE5090E" w:rsidR="000C2A8F" w:rsidRDefault="00B7772E" w:rsidP="003B0FB6">
            <w:pPr>
              <w:pStyle w:val="TCTableBody"/>
            </w:pPr>
            <w:r>
              <w:rPr>
                <w:rFonts w:ascii="Times New Roman" w:hAnsi="Times New Roman" w:hint="eastAsia"/>
                <w:bCs/>
                <w:lang w:eastAsia="ko-KR"/>
              </w:rPr>
              <w:t xml:space="preserve"> </w:t>
            </w:r>
            <w:proofErr w:type="spellStart"/>
            <w:r w:rsidRPr="00A71136">
              <w:rPr>
                <w:rFonts w:ascii="Times New Roman" w:hAnsi="Times New Roman" w:hint="eastAsia"/>
                <w:bCs/>
                <w:lang w:eastAsia="ko-KR"/>
              </w:rPr>
              <w:t>Δ</w:t>
            </w:r>
            <w:proofErr w:type="spellEnd"/>
            <w:r w:rsidRPr="00A71136">
              <w:rPr>
                <w:rFonts w:ascii="Times New Roman" w:hAnsi="Times New Roman" w:hint="eastAsia"/>
                <w:bCs/>
                <w:lang w:eastAsia="ko-KR"/>
              </w:rPr>
              <w:t>T (K)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D6FA190" w14:textId="77777777" w:rsidR="005227DF" w:rsidRDefault="005227DF" w:rsidP="003B0FB6">
            <w:pPr>
              <w:pStyle w:val="TCTableBody"/>
              <w:rPr>
                <w:rFonts w:ascii="Times New Roman" w:hAnsi="Times New Roman"/>
                <w:bCs/>
                <w:lang w:eastAsia="ko-KR"/>
              </w:rPr>
            </w:pPr>
          </w:p>
          <w:p w14:paraId="79B94656" w14:textId="575971CD" w:rsidR="000C2A8F" w:rsidRDefault="00B7772E" w:rsidP="003B0FB6">
            <w:pPr>
              <w:pStyle w:val="TCTableBody"/>
            </w:pPr>
            <w:proofErr w:type="spellStart"/>
            <w:r w:rsidRPr="00A71136">
              <w:rPr>
                <w:rFonts w:ascii="Times New Roman" w:hAnsi="Times New Roman" w:hint="eastAsia"/>
                <w:bCs/>
                <w:lang w:eastAsia="ko-KR"/>
              </w:rPr>
              <w:t>σ</w:t>
            </w:r>
            <w:proofErr w:type="spellEnd"/>
            <w:r w:rsidRPr="00A71136">
              <w:rPr>
                <w:rFonts w:ascii="Times New Roman" w:hAnsi="Times New Roman" w:hint="eastAsia"/>
                <w:bCs/>
                <w:lang w:eastAsia="ko-KR"/>
              </w:rPr>
              <w:t>max (MPa)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4071B68" w14:textId="77777777" w:rsidR="005227DF" w:rsidRDefault="005227DF" w:rsidP="003B0FB6">
            <w:pPr>
              <w:pStyle w:val="TCTableBody"/>
              <w:rPr>
                <w:rFonts w:ascii="Times New Roman" w:hAnsi="Times New Roman"/>
                <w:bCs/>
                <w:lang w:eastAsia="ko-KR"/>
              </w:rPr>
            </w:pPr>
          </w:p>
          <w:p w14:paraId="53CC3F9C" w14:textId="5E95CDDA" w:rsidR="000C2A8F" w:rsidRDefault="00B7772E" w:rsidP="003B0FB6">
            <w:pPr>
              <w:pStyle w:val="TCTableBody"/>
            </w:pPr>
            <w:proofErr w:type="spellStart"/>
            <w:r w:rsidRPr="00A71136">
              <w:rPr>
                <w:rFonts w:ascii="Times New Roman" w:hAnsi="Times New Roman" w:hint="eastAsia"/>
                <w:bCs/>
                <w:lang w:eastAsia="ko-KR"/>
              </w:rPr>
              <w:t>Δ</w:t>
            </w:r>
            <w:proofErr w:type="spellEnd"/>
            <w:r w:rsidRPr="00A71136">
              <w:rPr>
                <w:rFonts w:ascii="Times New Roman" w:hAnsi="Times New Roman" w:hint="eastAsia"/>
                <w:bCs/>
                <w:lang w:eastAsia="ko-KR"/>
              </w:rPr>
              <w:t>P (kPa</w:t>
            </w:r>
            <w:r>
              <w:rPr>
                <w:rFonts w:ascii="Times New Roman" w:hAnsi="Times New Roman" w:hint="eastAsia"/>
                <w:bCs/>
                <w:lang w:eastAsia="ko-KR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6A67CC14" w14:textId="77777777" w:rsidR="005227DF" w:rsidRDefault="005227DF" w:rsidP="003B0FB6">
            <w:pPr>
              <w:pStyle w:val="TCTableBody"/>
              <w:rPr>
                <w:rFonts w:ascii="Times New Roman" w:hAnsi="Times New Roman"/>
                <w:bCs/>
                <w:lang w:eastAsia="ko-KR"/>
              </w:rPr>
            </w:pPr>
          </w:p>
          <w:p w14:paraId="5DB132F0" w14:textId="0FB33E40" w:rsidR="000C2A8F" w:rsidRDefault="00B7772E" w:rsidP="003B0FB6">
            <w:pPr>
              <w:pStyle w:val="TCTableBody"/>
            </w:pPr>
            <w:r w:rsidRPr="00A71136">
              <w:rPr>
                <w:rFonts w:ascii="Times New Roman" w:hAnsi="Times New Roman" w:hint="eastAsia"/>
                <w:bCs/>
                <w:lang w:eastAsia="ko-KR"/>
              </w:rPr>
              <w:t>h (W/m</w:t>
            </w:r>
            <w:r w:rsidRPr="00A71136">
              <w:rPr>
                <w:rFonts w:ascii="Times New Roman" w:hAnsi="Times New Roman" w:hint="eastAsia"/>
                <w:bCs/>
                <w:lang w:eastAsia="ko-KR"/>
              </w:rPr>
              <w:t>²</w:t>
            </w:r>
            <w:r w:rsidRPr="00A71136">
              <w:rPr>
                <w:rFonts w:ascii="Times New Roman" w:hAnsi="Times New Roman" w:hint="eastAsia"/>
                <w:bCs/>
                <w:lang w:eastAsia="ko-KR"/>
              </w:rPr>
              <w:t>K)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1FC1746" w14:textId="77777777" w:rsidR="000C2A8F" w:rsidRDefault="000C2A8F" w:rsidP="003B0FB6">
            <w:pPr>
              <w:pStyle w:val="TCTableBody"/>
            </w:pPr>
            <w:r>
              <w:t>Column 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6F15BC75" w14:textId="77777777" w:rsidR="000C2A8F" w:rsidRDefault="000C2A8F" w:rsidP="003B0FB6">
            <w:pPr>
              <w:pStyle w:val="TCTableBody"/>
            </w:pPr>
            <w:r>
              <w:t>Column 6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FEBC13A" w14:textId="77777777" w:rsidR="000C2A8F" w:rsidRDefault="000C2A8F" w:rsidP="003B0FB6">
            <w:pPr>
              <w:pStyle w:val="TCTableBody"/>
            </w:pPr>
            <w:r>
              <w:t>Column 7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2609721" w14:textId="77777777" w:rsidR="000C2A8F" w:rsidRDefault="000C2A8F" w:rsidP="003B0FB6">
            <w:pPr>
              <w:pStyle w:val="TCTableBody"/>
            </w:pPr>
            <w:r>
              <w:t>Column 8</w:t>
            </w:r>
          </w:p>
        </w:tc>
      </w:tr>
      <w:tr w:rsidR="000C2A8F" w14:paraId="1481A9CB" w14:textId="77777777" w:rsidTr="00B7772E">
        <w:trPr>
          <w:trHeight w:val="3706"/>
        </w:trPr>
        <w:tc>
          <w:tcPr>
            <w:tcW w:w="1283" w:type="dxa"/>
            <w:tcBorders>
              <w:top w:val="single" w:sz="4" w:space="0" w:color="auto"/>
            </w:tcBorders>
          </w:tcPr>
          <w:p w14:paraId="44A13116" w14:textId="1EEBF42D" w:rsidR="000C2A8F" w:rsidRPr="005227DF" w:rsidRDefault="005227DF" w:rsidP="003B0FB6">
            <w:pPr>
              <w:rPr>
                <w:sz w:val="20"/>
                <w:lang w:eastAsia="ko-KR"/>
              </w:rPr>
            </w:pPr>
            <w:proofErr w:type="spellStart"/>
            <w:r w:rsidRPr="005227DF">
              <w:rPr>
                <w:rFonts w:hint="eastAsia"/>
                <w:sz w:val="20"/>
                <w:lang w:eastAsia="ko-KR"/>
              </w:rPr>
              <w:t>마</w:t>
            </w:r>
            <w:r>
              <w:rPr>
                <w:rFonts w:hint="eastAsia"/>
                <w:sz w:val="20"/>
                <w:lang w:eastAsia="ko-KR"/>
              </w:rPr>
              <w:t>이크</w:t>
            </w:r>
            <w:r w:rsidRPr="005227DF">
              <w:rPr>
                <w:rFonts w:hint="eastAsia"/>
                <w:sz w:val="20"/>
                <w:lang w:eastAsia="ko-KR"/>
              </w:rPr>
              <w:t>로채널</w:t>
            </w:r>
            <w:proofErr w:type="spellEnd"/>
            <w:r w:rsidRPr="005227DF">
              <w:rPr>
                <w:rFonts w:hint="eastAsia"/>
                <w:sz w:val="20"/>
                <w:lang w:eastAsia="ko-KR"/>
              </w:rPr>
              <w:t xml:space="preserve"> IHK</w:t>
            </w:r>
          </w:p>
          <w:p w14:paraId="1B60526C" w14:textId="77777777" w:rsidR="005227DF" w:rsidRDefault="005227DF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15</w:t>
            </w:r>
          </w:p>
          <w:p w14:paraId="34595892" w14:textId="77777777" w:rsidR="005227DF" w:rsidRDefault="005227DF" w:rsidP="003B0FB6">
            <w:pPr>
              <w:rPr>
                <w:sz w:val="20"/>
                <w:lang w:eastAsia="ko-KR"/>
              </w:rPr>
            </w:pPr>
            <w:proofErr w:type="spellStart"/>
            <w:r w:rsidRPr="005227DF">
              <w:rPr>
                <w:rFonts w:hint="eastAsia"/>
                <w:sz w:val="20"/>
                <w:lang w:eastAsia="ko-KR"/>
              </w:rPr>
              <w:t>핫덱트</w:t>
            </w:r>
            <w:proofErr w:type="spellEnd"/>
            <w:r w:rsidRPr="005227DF">
              <w:rPr>
                <w:rFonts w:hint="eastAsia"/>
                <w:sz w:val="20"/>
                <w:lang w:eastAsia="ko-KR"/>
              </w:rPr>
              <w:t xml:space="preserve"> </w:t>
            </w:r>
            <w:proofErr w:type="spellStart"/>
            <w:r w:rsidRPr="005227DF">
              <w:rPr>
                <w:rFonts w:hint="eastAsia"/>
                <w:sz w:val="20"/>
                <w:lang w:eastAsia="ko-KR"/>
              </w:rPr>
              <w:t>곡부</w:t>
            </w:r>
            <w:proofErr w:type="spellEnd"/>
          </w:p>
          <w:p w14:paraId="749E9E43" w14:textId="77777777" w:rsidR="005227DF" w:rsidRDefault="0053776E" w:rsidP="003B0FB6">
            <w:pPr>
              <w:rPr>
                <w:sz w:val="20"/>
                <w:lang w:eastAsia="ko-KR"/>
              </w:rPr>
            </w:pPr>
            <w:r>
              <w:rPr>
                <w:rFonts w:hint="eastAsia"/>
                <w:sz w:val="20"/>
                <w:lang w:eastAsia="ko-KR"/>
              </w:rPr>
              <w:t>18</w:t>
            </w:r>
          </w:p>
          <w:p w14:paraId="7901B512" w14:textId="77777777" w:rsidR="006A330D" w:rsidRDefault="006A330D" w:rsidP="003B0FB6">
            <w:pPr>
              <w:rPr>
                <w:sz w:val="20"/>
                <w:lang w:eastAsia="ko-KR"/>
              </w:rPr>
            </w:pPr>
            <w:r>
              <w:rPr>
                <w:rFonts w:hint="eastAsia"/>
                <w:sz w:val="20"/>
                <w:lang w:eastAsia="ko-KR"/>
              </w:rPr>
              <w:t>배관</w:t>
            </w:r>
            <w:r>
              <w:rPr>
                <w:rFonts w:hint="eastAsia"/>
                <w:sz w:val="20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lang w:eastAsia="ko-KR"/>
              </w:rPr>
              <w:t>직선부</w:t>
            </w:r>
            <w:proofErr w:type="spellEnd"/>
          </w:p>
          <w:p w14:paraId="13704927" w14:textId="77777777" w:rsidR="006A330D" w:rsidRDefault="006A330D" w:rsidP="003B0FB6">
            <w:pPr>
              <w:rPr>
                <w:sz w:val="20"/>
                <w:lang w:eastAsia="ko-KR"/>
              </w:rPr>
            </w:pPr>
            <w:r>
              <w:rPr>
                <w:rFonts w:hint="eastAsia"/>
                <w:sz w:val="20"/>
                <w:lang w:eastAsia="ko-KR"/>
              </w:rPr>
              <w:t>12</w:t>
            </w:r>
          </w:p>
          <w:p w14:paraId="731C351B" w14:textId="77777777" w:rsidR="005C7796" w:rsidRDefault="005C7796" w:rsidP="003B0FB6">
            <w:pPr>
              <w:rPr>
                <w:sz w:val="20"/>
                <w:lang w:eastAsia="ko-KR"/>
              </w:rPr>
            </w:pPr>
            <w:r>
              <w:rPr>
                <w:rFonts w:hint="eastAsia"/>
                <w:sz w:val="20"/>
                <w:lang w:eastAsia="ko-KR"/>
              </w:rPr>
              <w:t>접합부</w:t>
            </w:r>
          </w:p>
          <w:p w14:paraId="65E9C04F" w14:textId="3808155B" w:rsidR="005C7796" w:rsidRPr="005227DF" w:rsidRDefault="005C7796" w:rsidP="003B0FB6"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ko-KR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16F7468D" w14:textId="77777777" w:rsidR="005227DF" w:rsidRDefault="005227DF" w:rsidP="003B0FB6">
            <w:pPr>
              <w:rPr>
                <w:lang w:eastAsia="ko-KR"/>
              </w:rPr>
            </w:pPr>
          </w:p>
          <w:p w14:paraId="27382777" w14:textId="77777777" w:rsidR="000C2A8F" w:rsidRDefault="005227DF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180</w:t>
            </w:r>
          </w:p>
          <w:p w14:paraId="5A982727" w14:textId="77777777" w:rsidR="0053776E" w:rsidRDefault="0053776E" w:rsidP="003B0FB6">
            <w:pPr>
              <w:rPr>
                <w:lang w:eastAsia="ko-KR"/>
              </w:rPr>
            </w:pPr>
          </w:p>
          <w:p w14:paraId="7AA9E6FD" w14:textId="77777777" w:rsidR="006A330D" w:rsidRDefault="006A330D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160</w:t>
            </w:r>
          </w:p>
          <w:p w14:paraId="649695A9" w14:textId="77777777" w:rsidR="006A330D" w:rsidRDefault="006A330D" w:rsidP="003B0FB6">
            <w:pPr>
              <w:rPr>
                <w:lang w:eastAsia="ko-KR"/>
              </w:rPr>
            </w:pPr>
          </w:p>
          <w:p w14:paraId="031871D8" w14:textId="77777777" w:rsidR="006A330D" w:rsidRDefault="005C7796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110</w:t>
            </w:r>
          </w:p>
          <w:p w14:paraId="71C871B3" w14:textId="77777777" w:rsidR="005C7796" w:rsidRDefault="005C7796" w:rsidP="003B0FB6">
            <w:pPr>
              <w:rPr>
                <w:lang w:eastAsia="ko-KR"/>
              </w:rPr>
            </w:pPr>
          </w:p>
          <w:p w14:paraId="538374BC" w14:textId="4938F079" w:rsidR="005C7796" w:rsidRDefault="005C7796" w:rsidP="003B0FB6">
            <w:r>
              <w:rPr>
                <w:rFonts w:hint="eastAsia"/>
                <w:lang w:eastAsia="ko-KR"/>
              </w:rPr>
              <w:t>150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0E5361EE" w14:textId="77777777" w:rsidR="005227DF" w:rsidRDefault="005227DF" w:rsidP="003B0FB6">
            <w:pPr>
              <w:rPr>
                <w:lang w:eastAsia="ko-KR"/>
              </w:rPr>
            </w:pPr>
          </w:p>
          <w:p w14:paraId="2B39771C" w14:textId="77777777" w:rsidR="000C2A8F" w:rsidRDefault="005227DF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3.2</w:t>
            </w:r>
          </w:p>
          <w:p w14:paraId="1D2E3934" w14:textId="77777777" w:rsidR="006A330D" w:rsidRDefault="006A330D" w:rsidP="003B0FB6">
            <w:pPr>
              <w:rPr>
                <w:lang w:eastAsia="ko-KR"/>
              </w:rPr>
            </w:pPr>
          </w:p>
          <w:p w14:paraId="447055DC" w14:textId="77777777" w:rsidR="006A330D" w:rsidRDefault="006A330D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0.8</w:t>
            </w:r>
          </w:p>
          <w:p w14:paraId="5FAE7EA7" w14:textId="77777777" w:rsidR="005C7796" w:rsidRDefault="005C7796" w:rsidP="003B0FB6">
            <w:pPr>
              <w:rPr>
                <w:lang w:eastAsia="ko-KR"/>
              </w:rPr>
            </w:pPr>
          </w:p>
          <w:p w14:paraId="27BB00F5" w14:textId="77777777" w:rsidR="005C7796" w:rsidRDefault="005C7796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1.2</w:t>
            </w:r>
          </w:p>
          <w:p w14:paraId="135C99F4" w14:textId="77777777" w:rsidR="005C7796" w:rsidRDefault="005C7796" w:rsidP="003B0FB6">
            <w:pPr>
              <w:rPr>
                <w:lang w:eastAsia="ko-KR"/>
              </w:rPr>
            </w:pPr>
          </w:p>
          <w:p w14:paraId="7522288F" w14:textId="628AD957" w:rsidR="005C7796" w:rsidRDefault="005C7796" w:rsidP="003B0FB6">
            <w:r>
              <w:rPr>
                <w:rFonts w:hint="eastAsia"/>
                <w:lang w:eastAsia="ko-K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56B8D9F4" w14:textId="77777777" w:rsidR="005227DF" w:rsidRDefault="005227DF" w:rsidP="003B0FB6">
            <w:pPr>
              <w:rPr>
                <w:lang w:eastAsia="ko-KR"/>
              </w:rPr>
            </w:pPr>
          </w:p>
          <w:p w14:paraId="5E90A179" w14:textId="77777777" w:rsidR="000C2A8F" w:rsidRDefault="005227DF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780</w:t>
            </w:r>
          </w:p>
          <w:p w14:paraId="357E6BBF" w14:textId="77777777" w:rsidR="005227DF" w:rsidRDefault="005227DF" w:rsidP="003B0FB6">
            <w:pPr>
              <w:rPr>
                <w:lang w:eastAsia="ko-KR"/>
              </w:rPr>
            </w:pPr>
          </w:p>
          <w:p w14:paraId="497A9078" w14:textId="7523D29C" w:rsidR="005227DF" w:rsidRDefault="006A330D" w:rsidP="003B0FB6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-</w:t>
            </w:r>
          </w:p>
          <w:p w14:paraId="26ADA2AC" w14:textId="77777777" w:rsidR="005227DF" w:rsidRDefault="005227DF" w:rsidP="003B0FB6">
            <w:pPr>
              <w:rPr>
                <w:lang w:eastAsia="ko-KR"/>
              </w:rPr>
            </w:pPr>
          </w:p>
          <w:p w14:paraId="3F89421B" w14:textId="77777777" w:rsidR="005227DF" w:rsidRDefault="005C7796" w:rsidP="003B0FB6">
            <w:r>
              <w:rPr>
                <w:rFonts w:hint="eastAsia"/>
                <w:lang w:eastAsia="ko-KR"/>
              </w:rPr>
              <w:t>-</w:t>
            </w:r>
          </w:p>
          <w:p w14:paraId="3A7AF51A" w14:textId="0FB9E1C0" w:rsidR="005C7796" w:rsidRDefault="005C7796" w:rsidP="003B0FB6">
            <w:r>
              <w:rPr>
                <w:rFonts w:hint="eastAsia"/>
                <w:lang w:eastAsia="ko-KR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1A19C9BA" w14:textId="77777777" w:rsidR="000C2A8F" w:rsidRDefault="000C2A8F" w:rsidP="003B0FB6"/>
        </w:tc>
        <w:tc>
          <w:tcPr>
            <w:tcW w:w="1283" w:type="dxa"/>
            <w:tcBorders>
              <w:top w:val="single" w:sz="4" w:space="0" w:color="auto"/>
            </w:tcBorders>
          </w:tcPr>
          <w:p w14:paraId="6A5CB1E5" w14:textId="77777777" w:rsidR="000C2A8F" w:rsidRDefault="000C2A8F" w:rsidP="003B0FB6"/>
        </w:tc>
        <w:tc>
          <w:tcPr>
            <w:tcW w:w="1283" w:type="dxa"/>
            <w:tcBorders>
              <w:top w:val="single" w:sz="4" w:space="0" w:color="auto"/>
            </w:tcBorders>
          </w:tcPr>
          <w:p w14:paraId="0121896B" w14:textId="77777777" w:rsidR="000C2A8F" w:rsidRDefault="000C2A8F" w:rsidP="003B0FB6"/>
        </w:tc>
        <w:tc>
          <w:tcPr>
            <w:tcW w:w="1283" w:type="dxa"/>
            <w:tcBorders>
              <w:top w:val="single" w:sz="4" w:space="0" w:color="auto"/>
            </w:tcBorders>
          </w:tcPr>
          <w:p w14:paraId="7EA17E92" w14:textId="77777777" w:rsidR="000C2A8F" w:rsidRDefault="000C2A8F" w:rsidP="003B0FB6"/>
        </w:tc>
      </w:tr>
    </w:tbl>
    <w:p w14:paraId="117A81F2" w14:textId="1440FC64" w:rsidR="00662CA3" w:rsidRPr="00A63045" w:rsidRDefault="00662CA3" w:rsidP="00662CA3">
      <w:pPr>
        <w:pStyle w:val="SectionTitle"/>
        <w:rPr>
          <w:rFonts w:ascii="Times New Roman" w:hAnsi="Times New Roman"/>
          <w:sz w:val="20"/>
          <w:szCs w:val="20"/>
          <w:highlight w:val="yellow"/>
          <w:lang w:eastAsia="ko-KR"/>
        </w:rPr>
      </w:pPr>
      <w:r w:rsidRPr="00662CA3">
        <w:rPr>
          <w:rFonts w:ascii="Times New Roman" w:hAnsi="Times New Roman" w:hint="eastAsia"/>
          <w:sz w:val="20"/>
          <w:szCs w:val="20"/>
          <w:lang w:eastAsia="ko-KR"/>
        </w:rPr>
        <w:t>토의</w:t>
      </w:r>
      <w:r w:rsidRPr="00662CA3">
        <w:rPr>
          <w:rFonts w:ascii="Times New Roman" w:hAnsi="Times New Roman" w:hint="eastAsia"/>
          <w:sz w:val="20"/>
          <w:szCs w:val="20"/>
          <w:lang w:eastAsia="ko-KR"/>
        </w:rPr>
        <w:t xml:space="preserve">(Discussion), </w:t>
      </w:r>
      <w:r w:rsidRPr="00662CA3">
        <w:rPr>
          <w:rFonts w:ascii="Times New Roman" w:hAnsi="Times New Roman" w:hint="eastAsia"/>
          <w:sz w:val="20"/>
          <w:szCs w:val="20"/>
          <w:lang w:eastAsia="ko-KR"/>
        </w:rPr>
        <w:t>결론</w:t>
      </w:r>
      <w:r w:rsidRPr="00662CA3">
        <w:rPr>
          <w:rFonts w:ascii="Times New Roman" w:hAnsi="Times New Roman" w:hint="eastAsia"/>
          <w:sz w:val="20"/>
          <w:szCs w:val="20"/>
          <w:lang w:eastAsia="ko-KR"/>
        </w:rPr>
        <w:t>(Conclusion)</w:t>
      </w:r>
    </w:p>
    <w:p w14:paraId="5CF9E6B8" w14:textId="77777777" w:rsidR="009F42C1" w:rsidRDefault="009F42C1" w:rsidP="009F42C1">
      <w:pPr>
        <w:pStyle w:val="SectionTitle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본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VHTR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열전달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계통을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이동시키는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통로가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아니라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열효율과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건전성을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동시에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만족시켜야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통합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설계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대상으로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다루었다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분석을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고온부에서의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열손실이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약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18%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수준이며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계통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온도차가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200 K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안팎으로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형성된다는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사실이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확인되었다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또한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이종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재료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접합부에서는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열팽창계수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차이로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인해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응력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집중이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쉽게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발생하고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반복되는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기동과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사이클은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크리프와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열피로를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가속한다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현상은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결국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냉각재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누출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위험과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생산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효율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저하로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이어지므로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운전을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아우르는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종합적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해법이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필요하다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  <w:r>
        <w:rPr>
          <w:rFonts w:ascii="Times New Roman" w:hAnsi="Times New Roman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이에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본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열유체와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함께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연성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해석을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바탕으로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열교환기와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형상을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위상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최적화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관점에서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재설계하는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접근을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제안하였다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핵심은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전달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면적을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효과적으로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늘리되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불필요한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압력강하를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억제하고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구간의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구배를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완만하게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주는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설계에서는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마이크로채널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계열의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열교환기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적용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길이와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열교량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최소화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이중관과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진공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재킷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다층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단열을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억제가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유효했다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특히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곡관과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튜브시트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같은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민감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구간에는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플렉시블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루프와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조인트를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배치해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변형을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허용하는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경로를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확보하고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열차폐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코팅과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대칭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단열로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접합부의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온도차를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줄이면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응력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상승을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안정적으로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눌러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  <w:r>
        <w:rPr>
          <w:rFonts w:ascii="Times New Roman" w:hAnsi="Times New Roman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시스템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차원에서는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고온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구간을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가능한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가깝게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배치해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이동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거리를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줄이고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중간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열교환기와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핫덕트를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모듈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단위로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세분화해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격리와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교체가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쉬운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갖추는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바람직하다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평상시에는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피동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냉각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경로를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대기시키고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주기에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걸친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건전성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모니터링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포인트를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촘촘히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배치해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이상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징후를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조기에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포착하는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체계를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권장한다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정상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운전의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효율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개선뿐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아니라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상황에서의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온도구배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급등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억제와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proofErr w:type="spellStart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잔열</w:t>
      </w:r>
      <w:proofErr w:type="spellEnd"/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배출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보장으로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이어진다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  <w:r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결국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본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제안하는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방향은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하나로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모아진다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잃고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구조가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비틀리도록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형상과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재료와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운전을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함께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묶어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설계하는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단기적으로는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열손실을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자릿수대로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낮추고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온도차를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절반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수준으로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완화하며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접합부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최대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응력을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허용치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아래로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관리하는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지표로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삼을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있다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중기적으로는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연성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해석을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통해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설계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한계와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여유도를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수치로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확정하고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가열과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냉각을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반복하는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모형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시험으로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효과를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검증하는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단계가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뒤따라야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한다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.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이러한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과정을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거치면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본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연구의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결론은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VHTR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과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열화학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생산을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연결하는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실증적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설계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지침으로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자연스럽게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확장될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것이며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,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궁극적으로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초고온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원자로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기술의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상용화와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청정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수소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공급의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신뢰성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제고에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기여할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것으로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 xml:space="preserve"> 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판단된다</w:t>
      </w:r>
      <w:r w:rsidRPr="009F42C1">
        <w:rPr>
          <w:rFonts w:ascii="Times New Roman" w:hAnsi="Times New Roman" w:hint="eastAsia"/>
          <w:b w:val="0"/>
          <w:kern w:val="21"/>
          <w:sz w:val="20"/>
          <w:szCs w:val="20"/>
          <w:lang w:eastAsia="ko-KR"/>
        </w:rPr>
        <w:t>.</w:t>
      </w:r>
      <w:r w:rsidR="008C3EC7" w:rsidRPr="008C3EC7">
        <w:rPr>
          <w:rFonts w:ascii="Times New Roman" w:hAnsi="Times New Roman"/>
          <w:b w:val="0"/>
          <w:kern w:val="21"/>
          <w:sz w:val="20"/>
          <w:szCs w:val="20"/>
          <w:lang w:eastAsia="ko-KR"/>
        </w:rPr>
        <w:t xml:space="preserve"> </w:t>
      </w:r>
    </w:p>
    <w:p w14:paraId="158DD2F6" w14:textId="77777777" w:rsidR="009F42C1" w:rsidRDefault="009F42C1" w:rsidP="009F42C1">
      <w:pPr>
        <w:pStyle w:val="SectionTitle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</w:p>
    <w:p w14:paraId="25292B32" w14:textId="77777777" w:rsidR="009F42C1" w:rsidRDefault="009F42C1" w:rsidP="009F42C1">
      <w:pPr>
        <w:pStyle w:val="SectionTitle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</w:p>
    <w:p w14:paraId="1ABE53A1" w14:textId="77777777" w:rsidR="009F42C1" w:rsidRDefault="009F42C1" w:rsidP="009F42C1">
      <w:pPr>
        <w:pStyle w:val="SectionTitle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</w:p>
    <w:p w14:paraId="0E25797F" w14:textId="376AE41F" w:rsidR="00A63045" w:rsidRPr="009F42C1" w:rsidRDefault="005B7DD9" w:rsidP="009F42C1">
      <w:pPr>
        <w:pStyle w:val="SectionTitle"/>
        <w:rPr>
          <w:rFonts w:ascii="Times New Roman" w:hAnsi="Times New Roman"/>
          <w:b w:val="0"/>
          <w:kern w:val="21"/>
          <w:sz w:val="20"/>
          <w:szCs w:val="20"/>
          <w:lang w:eastAsia="ko-KR"/>
        </w:rPr>
      </w:pPr>
      <w:r w:rsidRPr="00A63045">
        <w:rPr>
          <w:rFonts w:ascii="Times New Roman" w:hAnsi="Times New Roman"/>
          <w:lang w:eastAsia="ko-KR"/>
        </w:rPr>
        <w:t>REFERENCES</w:t>
      </w:r>
    </w:p>
    <w:p w14:paraId="37F7AB2A" w14:textId="39102BEE" w:rsidR="00A63045" w:rsidRDefault="00F9788A" w:rsidP="00A63045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최동현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박민정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이성노</w:t>
      </w:r>
      <w:proofErr w:type="spellEnd"/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장윤석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(2025-06-25).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원자로용기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불연속부에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대한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파괴역학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분석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대한기계학회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춘추학술대회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제주</w:t>
      </w:r>
      <w:r w:rsidRPr="00F9788A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0065424C" w14:textId="2FEDE4A5" w:rsidR="00F9788A" w:rsidRDefault="0095197F" w:rsidP="00A63045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이지민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남기솔</w:t>
      </w:r>
      <w:proofErr w:type="spellEnd"/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이은제</w:t>
      </w:r>
      <w:proofErr w:type="spellEnd"/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박근엽</w:t>
      </w:r>
      <w:proofErr w:type="spellEnd"/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이영준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(2025-05-20).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추진용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원자로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기술개발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로드맵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개발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방안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한국추진공학회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학술대회논문집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제주</w:t>
      </w:r>
      <w:r w:rsidRPr="0095197F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55612B92" w14:textId="01E2C96D" w:rsidR="00F9788A" w:rsidRPr="00E95250" w:rsidRDefault="00E95250" w:rsidP="00A63045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  <w:proofErr w:type="spellStart"/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정은익</w:t>
      </w:r>
      <w:proofErr w:type="spellEnd"/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proofErr w:type="spellStart"/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안희학</w:t>
      </w:r>
      <w:proofErr w:type="spellEnd"/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서경화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(2025-05-07). 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소형원자로용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수냉식</w:t>
      </w:r>
      <w:proofErr w:type="spellEnd"/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proofErr w:type="spellStart"/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제어봉구동장치</w:t>
      </w:r>
      <w:proofErr w:type="spellEnd"/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상용화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설계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. 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대한기계학회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 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춘추학술대회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 xml:space="preserve">, 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제주</w:t>
      </w:r>
      <w:r w:rsidRPr="00E95250">
        <w:rPr>
          <w:rFonts w:ascii="Times New Roman" w:hAnsi="Times New Roman" w:hint="eastAsia"/>
          <w:b w:val="0"/>
          <w:bCs/>
          <w:sz w:val="20"/>
          <w:szCs w:val="20"/>
          <w:lang w:eastAsia="ko-KR"/>
        </w:rPr>
        <w:t>.</w:t>
      </w:r>
    </w:p>
    <w:p w14:paraId="336E4539" w14:textId="77777777" w:rsidR="00A63045" w:rsidRPr="00E95250" w:rsidRDefault="00A63045" w:rsidP="00A63045">
      <w:pPr>
        <w:pStyle w:val="SectionTitle"/>
        <w:rPr>
          <w:rFonts w:ascii="Times New Roman" w:hAnsi="Times New Roman"/>
          <w:b w:val="0"/>
          <w:bCs/>
          <w:sz w:val="20"/>
          <w:szCs w:val="20"/>
          <w:lang w:eastAsia="ko-KR"/>
        </w:rPr>
      </w:pPr>
    </w:p>
    <w:p w14:paraId="45CC94A5" w14:textId="77777777" w:rsidR="00A63045" w:rsidRPr="00E95250" w:rsidRDefault="00A63045" w:rsidP="00A63045">
      <w:pPr>
        <w:rPr>
          <w:bCs/>
          <w:sz w:val="20"/>
          <w:lang w:eastAsia="ko-KR"/>
        </w:rPr>
        <w:sectPr w:rsidR="00A63045" w:rsidRPr="00E95250" w:rsidSect="0059312F">
          <w:type w:val="continuous"/>
          <w:pgSz w:w="12240" w:h="15840"/>
          <w:pgMar w:top="720" w:right="1094" w:bottom="950" w:left="1094" w:header="720" w:footer="720" w:gutter="0"/>
          <w:cols w:num="2" w:space="461"/>
        </w:sectPr>
      </w:pPr>
    </w:p>
    <w:p w14:paraId="2B5B506B" w14:textId="77777777" w:rsidR="00433C67" w:rsidRPr="00C45E7B" w:rsidRDefault="00433C67" w:rsidP="000435CB">
      <w:pPr>
        <w:rPr>
          <w:rFonts w:ascii="Arno Pro" w:hAnsi="Arno Pro"/>
          <w:lang w:eastAsia="ko-KR"/>
        </w:rPr>
      </w:pPr>
    </w:p>
    <w:sectPr w:rsidR="00433C67" w:rsidRPr="00C45E7B" w:rsidSect="000435CB">
      <w:headerReference w:type="even" r:id="rId14"/>
      <w:footerReference w:type="even" r:id="rId15"/>
      <w:footerReference w:type="default" r:id="rId16"/>
      <w:type w:val="continuous"/>
      <w:pgSz w:w="12240" w:h="15840"/>
      <w:pgMar w:top="720" w:right="1094" w:bottom="950" w:left="1094" w:header="720" w:footer="720" w:gutter="0"/>
      <w:cols w: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97EB" w14:textId="77777777" w:rsidR="007E164D" w:rsidRDefault="007E164D">
      <w:r>
        <w:separator/>
      </w:r>
    </w:p>
    <w:p w14:paraId="602DDEB9" w14:textId="77777777" w:rsidR="007E164D" w:rsidRDefault="007E164D"/>
  </w:endnote>
  <w:endnote w:type="continuationSeparator" w:id="0">
    <w:p w14:paraId="020E6CF5" w14:textId="77777777" w:rsidR="007E164D" w:rsidRDefault="007E164D">
      <w:r>
        <w:continuationSeparator/>
      </w:r>
    </w:p>
    <w:p w14:paraId="7E76A427" w14:textId="77777777" w:rsidR="007E164D" w:rsidRDefault="007E1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KoPub바탕체 Medium">
    <w:altName w:val="바탕"/>
    <w:charset w:val="81"/>
    <w:family w:val="roman"/>
    <w:pitch w:val="variable"/>
    <w:sig w:usb0="800002A7" w:usb1="29D77CFB" w:usb2="00000010" w:usb3="00000000" w:csb0="00080000" w:csb1="00000000"/>
  </w:font>
  <w:font w:name="KoPub바탕체 Light">
    <w:altName w:val="바탕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A20D" w14:textId="77777777" w:rsidR="008603FB" w:rsidRDefault="005B7DD9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1BF5AC55" w14:textId="77777777" w:rsidR="008603FB" w:rsidRDefault="008603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7D84" w14:textId="77777777" w:rsidR="008603FB" w:rsidRDefault="008603FB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183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F344A4C" w14:textId="77777777" w:rsidR="008603FB" w:rsidRDefault="008603FB">
    <w:pPr>
      <w:pStyle w:val="a7"/>
      <w:ind w:right="360"/>
    </w:pPr>
  </w:p>
  <w:p w14:paraId="7413236B" w14:textId="77777777" w:rsidR="008603FB" w:rsidRDefault="008603F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117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9B72B78" w14:textId="77777777" w:rsidR="008603FB" w:rsidRDefault="008603FB">
    <w:pPr>
      <w:pStyle w:val="a7"/>
      <w:ind w:right="360"/>
    </w:pPr>
  </w:p>
  <w:p w14:paraId="530B4108" w14:textId="77777777" w:rsidR="008603FB" w:rsidRDefault="00860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A90D" w14:textId="77777777" w:rsidR="007E164D" w:rsidRDefault="007E164D">
      <w:r>
        <w:separator/>
      </w:r>
    </w:p>
    <w:p w14:paraId="640D1CF4" w14:textId="77777777" w:rsidR="007E164D" w:rsidRDefault="007E164D"/>
  </w:footnote>
  <w:footnote w:type="continuationSeparator" w:id="0">
    <w:p w14:paraId="76940700" w14:textId="77777777" w:rsidR="007E164D" w:rsidRDefault="007E164D">
      <w:r>
        <w:continuationSeparator/>
      </w:r>
    </w:p>
    <w:p w14:paraId="27DD8BA7" w14:textId="77777777" w:rsidR="007E164D" w:rsidRDefault="007E1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C07C" w14:textId="77777777" w:rsidR="007424F8" w:rsidRDefault="00CC3375">
    <w:pPr>
      <w:pStyle w:val="ac"/>
    </w:pPr>
    <w:r w:rsidRPr="00CC3375">
      <w:rPr>
        <w:noProof/>
      </w:rPr>
      <w:drawing>
        <wp:inline distT="0" distB="0" distL="0" distR="0" wp14:anchorId="3D5B4EBF" wp14:editId="72E8C70E">
          <wp:extent cx="714615" cy="348990"/>
          <wp:effectExtent l="0" t="0" r="0" b="0"/>
          <wp:docPr id="92472094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01AC" w14:textId="77777777" w:rsidR="008603FB" w:rsidRDefault="0086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4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5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AF4C72"/>
    <w:rsid w:val="00007A9A"/>
    <w:rsid w:val="000435CB"/>
    <w:rsid w:val="000C2A8F"/>
    <w:rsid w:val="000C4E79"/>
    <w:rsid w:val="00111E62"/>
    <w:rsid w:val="001452D4"/>
    <w:rsid w:val="00181743"/>
    <w:rsid w:val="00184AA7"/>
    <w:rsid w:val="001872DC"/>
    <w:rsid w:val="002C6797"/>
    <w:rsid w:val="002C7F2B"/>
    <w:rsid w:val="002E1DB3"/>
    <w:rsid w:val="002E26C7"/>
    <w:rsid w:val="0030420B"/>
    <w:rsid w:val="00314316"/>
    <w:rsid w:val="00331706"/>
    <w:rsid w:val="0033723C"/>
    <w:rsid w:val="00342F12"/>
    <w:rsid w:val="00345412"/>
    <w:rsid w:val="00363641"/>
    <w:rsid w:val="00365D78"/>
    <w:rsid w:val="003B16DB"/>
    <w:rsid w:val="003B44C1"/>
    <w:rsid w:val="003F2234"/>
    <w:rsid w:val="00422C8B"/>
    <w:rsid w:val="00423A38"/>
    <w:rsid w:val="00433C67"/>
    <w:rsid w:val="00446AD0"/>
    <w:rsid w:val="00460ECC"/>
    <w:rsid w:val="0046582F"/>
    <w:rsid w:val="00472C35"/>
    <w:rsid w:val="005143EE"/>
    <w:rsid w:val="00514A13"/>
    <w:rsid w:val="005227DF"/>
    <w:rsid w:val="0053010F"/>
    <w:rsid w:val="0053776E"/>
    <w:rsid w:val="00567C86"/>
    <w:rsid w:val="005816B8"/>
    <w:rsid w:val="0059312F"/>
    <w:rsid w:val="00597343"/>
    <w:rsid w:val="005B74D4"/>
    <w:rsid w:val="005B7DD9"/>
    <w:rsid w:val="005C7796"/>
    <w:rsid w:val="00634AD9"/>
    <w:rsid w:val="00647E73"/>
    <w:rsid w:val="00661C04"/>
    <w:rsid w:val="00662CA3"/>
    <w:rsid w:val="00686682"/>
    <w:rsid w:val="006921F9"/>
    <w:rsid w:val="006A330D"/>
    <w:rsid w:val="006A432D"/>
    <w:rsid w:val="006B0956"/>
    <w:rsid w:val="00710D1E"/>
    <w:rsid w:val="0072681D"/>
    <w:rsid w:val="007303E8"/>
    <w:rsid w:val="00735CDE"/>
    <w:rsid w:val="007424F8"/>
    <w:rsid w:val="00757F2A"/>
    <w:rsid w:val="00792521"/>
    <w:rsid w:val="007A09F1"/>
    <w:rsid w:val="007C0250"/>
    <w:rsid w:val="007C3D13"/>
    <w:rsid w:val="007E164D"/>
    <w:rsid w:val="007E62FE"/>
    <w:rsid w:val="007F5836"/>
    <w:rsid w:val="0081087B"/>
    <w:rsid w:val="008348A2"/>
    <w:rsid w:val="008401F3"/>
    <w:rsid w:val="00847B94"/>
    <w:rsid w:val="00851603"/>
    <w:rsid w:val="008603FB"/>
    <w:rsid w:val="008760A5"/>
    <w:rsid w:val="008C3EC7"/>
    <w:rsid w:val="008F0BF3"/>
    <w:rsid w:val="008F70BA"/>
    <w:rsid w:val="0095197F"/>
    <w:rsid w:val="00955BFF"/>
    <w:rsid w:val="00960616"/>
    <w:rsid w:val="009A05E7"/>
    <w:rsid w:val="009B2FCA"/>
    <w:rsid w:val="009D0EE5"/>
    <w:rsid w:val="009D6857"/>
    <w:rsid w:val="009F42C1"/>
    <w:rsid w:val="00A232AE"/>
    <w:rsid w:val="00A62F11"/>
    <w:rsid w:val="00A63045"/>
    <w:rsid w:val="00A71136"/>
    <w:rsid w:val="00A74C02"/>
    <w:rsid w:val="00AA288D"/>
    <w:rsid w:val="00AF4C72"/>
    <w:rsid w:val="00B7772E"/>
    <w:rsid w:val="00C636CB"/>
    <w:rsid w:val="00CA063F"/>
    <w:rsid w:val="00CC3375"/>
    <w:rsid w:val="00D00398"/>
    <w:rsid w:val="00D3017C"/>
    <w:rsid w:val="00D41958"/>
    <w:rsid w:val="00D43768"/>
    <w:rsid w:val="00D50690"/>
    <w:rsid w:val="00D805AD"/>
    <w:rsid w:val="00D9551E"/>
    <w:rsid w:val="00DB05FC"/>
    <w:rsid w:val="00DF45E1"/>
    <w:rsid w:val="00E33B64"/>
    <w:rsid w:val="00E9076F"/>
    <w:rsid w:val="00E94E7C"/>
    <w:rsid w:val="00E95250"/>
    <w:rsid w:val="00EA0DDD"/>
    <w:rsid w:val="00EE748B"/>
    <w:rsid w:val="00EF02C6"/>
    <w:rsid w:val="00EF0F7A"/>
    <w:rsid w:val="00F375A9"/>
    <w:rsid w:val="00F47C68"/>
    <w:rsid w:val="00F74BC7"/>
    <w:rsid w:val="00F9788A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9E7FD68"/>
  <w14:defaultImageDpi w14:val="300"/>
  <w15:docId w15:val="{D24834AE-831D-4C16-8BE2-86F8FC1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next w:val="a"/>
    <w:autoRedefine/>
    <w:rsid w:val="00A63045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rsid w:val="00796B80"/>
    <w:pPr>
      <w:spacing w:after="60"/>
      <w:ind w:firstLine="180"/>
    </w:pPr>
    <w:rPr>
      <w:rFonts w:ascii="Arno Pro" w:hAnsi="Arno Pro"/>
      <w:kern w:val="21"/>
      <w:sz w:val="21"/>
    </w:rPr>
  </w:style>
  <w:style w:type="paragraph" w:customStyle="1" w:styleId="BATitle">
    <w:name w:val="BA_Title"/>
    <w:basedOn w:val="a"/>
    <w:next w:val="BBAuthorName"/>
    <w:autoRedefine/>
    <w:rsid w:val="00427112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BIEmailAddress"/>
    <w:autoRedefine/>
    <w:rsid w:val="00E33B64"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rsid w:val="00BC40FF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rsid w:val="00796B80"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rsid w:val="00796B80"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rsid w:val="00796B80"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rsid w:val="00796B80"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character" w:styleId="aa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sid w:val="000E75E3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sid w:val="006532A9"/>
    <w:rPr>
      <w:b/>
    </w:rPr>
  </w:style>
  <w:style w:type="character" w:customStyle="1" w:styleId="BDAbstractChar">
    <w:name w:val="BD_Abstract Char"/>
    <w:link w:val="StyleTCTableBodyBoldChar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sid w:val="006532A9"/>
    <w:rPr>
      <w:rFonts w:ascii="Arno Pro" w:hAnsi="Arno Pro"/>
      <w:b/>
      <w:kern w:val="21"/>
      <w:sz w:val="19"/>
      <w:lang w:val="en-US" w:eastAsia="en-US" w:bidi="ar-SA"/>
    </w:rPr>
  </w:style>
  <w:style w:type="paragraph" w:customStyle="1" w:styleId="SectionTitle">
    <w:name w:val="Section_Title"/>
    <w:basedOn w:val="SectionContent"/>
    <w:link w:val="BDAbstractTitleChar"/>
    <w:autoRedefine/>
    <w:rsid w:val="006D0601"/>
    <w:pPr>
      <w:spacing w:before="180" w:after="120"/>
    </w:pPr>
    <w:rPr>
      <w:rFonts w:ascii="Myriad Pro Light" w:hAnsi="Myriad Pro Light"/>
      <w:b/>
      <w:sz w:val="21"/>
      <w:szCs w:val="18"/>
    </w:rPr>
  </w:style>
  <w:style w:type="paragraph" w:customStyle="1" w:styleId="AuthorInformationTitle">
    <w:name w:val="Author_Information_Title"/>
    <w:basedOn w:val="a"/>
    <w:link w:val="BDAbstract"/>
    <w:rsid w:val="006D0601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sid w:val="00BC40FF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rsid w:val="00AA288D"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rsid w:val="007424F8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sid w:val="007424F8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ot\Downloads\&#4368;&#4449;&#4535;&#4352;&#4462;&#4364;&#4449;&#4357;&#4461;%20&#4359;&#4457;&#4352;&#4457;&#4361;&#4453;%20&#4364;&#4449;&#4520;&#4361;&#4453;&#4540;%20&#4363;&#4451;&#4540;&#4361;&#4469;&#45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90F2-21DB-46C1-9119-AAC5026B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탐구자료 보고서 작성 양식</Template>
  <TotalTime>1822</TotalTime>
  <Pages>5</Pages>
  <Words>1910</Words>
  <Characters>6889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8782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전민규</dc:creator>
  <cp:keywords/>
  <cp:lastModifiedBy>동원 이</cp:lastModifiedBy>
  <cp:revision>5</cp:revision>
  <cp:lastPrinted>2023-10-23T02:26:00Z</cp:lastPrinted>
  <dcterms:created xsi:type="dcterms:W3CDTF">2025-11-09T02:51:00Z</dcterms:created>
  <dcterms:modified xsi:type="dcterms:W3CDTF">2025-11-10T09:14:00Z</dcterms:modified>
</cp:coreProperties>
</file>