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jc w:val="center"/>
        <w:rPr>
          <w:rFonts w:ascii="NanumMyeongjo ExtraBold" w:cs="NanumMyeongjo ExtraBold" w:eastAsia="NanumMyeongjo ExtraBold" w:hAnsi="NanumMyeongjo ExtraBold"/>
          <w:color w:val="000000"/>
          <w:sz w:val="60"/>
          <w:szCs w:val="60"/>
        </w:rPr>
      </w:pPr>
      <w:r w:rsidDel="00000000" w:rsidR="00000000" w:rsidRPr="00000000">
        <w:rPr>
          <w:rFonts w:ascii="NanumMyeongjo ExtraBold" w:cs="NanumMyeongjo ExtraBold" w:eastAsia="NanumMyeongjo ExtraBold" w:hAnsi="NanumMyeongjo ExtraBold"/>
          <w:color w:val="000000"/>
          <w:sz w:val="60"/>
          <w:szCs w:val="60"/>
          <w:rtl w:val="0"/>
        </w:rPr>
        <w:t xml:space="preserve">KENTECH 6월 과제</w:t>
      </w:r>
    </w:p>
    <w:p w:rsidR="00000000" w:rsidDel="00000000" w:rsidP="00000000" w:rsidRDefault="00000000" w:rsidRPr="00000000" w14:paraId="00000002">
      <w:pPr>
        <w:pStyle w:val="Heading2"/>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before="0" w:line="312" w:lineRule="auto"/>
        <w:jc w:val="center"/>
        <w:rPr>
          <w:rFonts w:ascii="NanumMyeongjo ExtraBold" w:cs="NanumMyeongjo ExtraBold" w:eastAsia="NanumMyeongjo ExtraBold" w:hAnsi="NanumMyeongjo ExtraBold"/>
          <w:color w:val="000000"/>
          <w:sz w:val="30"/>
          <w:szCs w:val="30"/>
        </w:rPr>
      </w:pPr>
      <w:bookmarkStart w:colFirst="0" w:colLast="0" w:name="_ec5f1lakf915" w:id="0"/>
      <w:bookmarkEnd w:id="0"/>
      <w:r w:rsidDel="00000000" w:rsidR="00000000" w:rsidRPr="00000000">
        <w:rPr>
          <w:rFonts w:ascii="NanumMyeongjo ExtraBold" w:cs="NanumMyeongjo ExtraBold" w:eastAsia="NanumMyeongjo ExtraBold" w:hAnsi="NanumMyeongjo ExtraBold"/>
          <w:color w:val="000000"/>
          <w:sz w:val="30"/>
          <w:szCs w:val="30"/>
          <w:rtl w:val="0"/>
        </w:rPr>
        <w:t xml:space="preserve">“</w:t>
      </w:r>
      <w:r w:rsidDel="00000000" w:rsidR="00000000" w:rsidRPr="00000000">
        <w:rPr>
          <w:b w:val="1"/>
          <w:color w:val="000000"/>
          <w:sz w:val="28"/>
          <w:szCs w:val="28"/>
          <w:rtl w:val="0"/>
        </w:rPr>
        <w:t xml:space="preserve">AI 기반 태양광 발전량 예측: 선형회귀 및 비선형회귀 모델 탐구 </w:t>
      </w:r>
      <w:r w:rsidDel="00000000" w:rsidR="00000000" w:rsidRPr="00000000">
        <w:rPr>
          <w:rFonts w:ascii="NanumMyeongjo ExtraBold" w:cs="NanumMyeongjo ExtraBold" w:eastAsia="NanumMyeongjo ExtraBold" w:hAnsi="NanumMyeongjo ExtraBold"/>
          <w:color w:val="000000"/>
          <w:sz w:val="30"/>
          <w:szCs w:val="30"/>
          <w:rtl w:val="0"/>
        </w:rPr>
        <w:t xml:space="preserve">”</w:t>
      </w:r>
    </w:p>
    <w:p w:rsidR="00000000" w:rsidDel="00000000" w:rsidP="00000000" w:rsidRDefault="00000000" w:rsidRPr="00000000" w14:paraId="00000003">
      <w:pPr>
        <w:spacing w:line="192.00000000000003" w:lineRule="auto"/>
        <w:jc w:val="right"/>
        <w:rPr>
          <w:rFonts w:ascii="NanumMyeongjo ExtraBold" w:cs="NanumMyeongjo ExtraBold" w:eastAsia="NanumMyeongjo ExtraBold" w:hAnsi="NanumMyeongjo ExtraBold"/>
          <w:color w:val="000000"/>
          <w:sz w:val="30"/>
          <w:szCs w:val="30"/>
        </w:rPr>
      </w:pPr>
      <w:r w:rsidDel="00000000" w:rsidR="00000000" w:rsidRPr="00000000">
        <w:rPr>
          <w:rFonts w:ascii="NanumMyeongjo ExtraBold" w:cs="NanumMyeongjo ExtraBold" w:eastAsia="NanumMyeongjo ExtraBold" w:hAnsi="NanumMyeongjo ExtraBold"/>
          <w:color w:val="000000"/>
          <w:sz w:val="30"/>
          <w:szCs w:val="30"/>
          <w:rtl w:val="0"/>
        </w:rPr>
        <w:t xml:space="preserve">전북과학고등학교</w:t>
      </w:r>
    </w:p>
    <w:p w:rsidR="00000000" w:rsidDel="00000000" w:rsidP="00000000" w:rsidRDefault="00000000" w:rsidRPr="00000000" w14:paraId="00000004">
      <w:pPr>
        <w:spacing w:line="72" w:lineRule="auto"/>
        <w:jc w:val="right"/>
        <w:rPr>
          <w:rFonts w:ascii="Nanum Myeongjo" w:cs="Nanum Myeongjo" w:eastAsia="Nanum Myeongjo" w:hAnsi="Nanum Myeongjo"/>
          <w:b w:val="1"/>
          <w:color w:val="000000"/>
          <w:sz w:val="26"/>
          <w:szCs w:val="26"/>
        </w:rPr>
      </w:pPr>
      <w:r w:rsidDel="00000000" w:rsidR="00000000" w:rsidRPr="00000000">
        <w:rPr>
          <w:rFonts w:ascii="Nanum Myeongjo" w:cs="Nanum Myeongjo" w:eastAsia="Nanum Myeongjo" w:hAnsi="Nanum Myeongjo"/>
          <w:b w:val="1"/>
          <w:color w:val="000000"/>
          <w:sz w:val="26"/>
          <w:szCs w:val="26"/>
          <w:rtl w:val="0"/>
        </w:rPr>
        <w:t xml:space="preserve">3</w:t>
      </w:r>
      <w:r w:rsidDel="00000000" w:rsidR="00000000" w:rsidRPr="00000000">
        <w:rPr>
          <w:b w:val="1"/>
          <w:color w:val="000000"/>
          <w:sz w:val="26"/>
          <w:szCs w:val="26"/>
          <w:rtl w:val="0"/>
        </w:rPr>
        <w:t xml:space="preserve">107</w:t>
      </w:r>
      <w:r w:rsidDel="00000000" w:rsidR="00000000" w:rsidRPr="00000000">
        <w:rPr>
          <w:rFonts w:ascii="Nanum Myeongjo" w:cs="Nanum Myeongjo" w:eastAsia="Nanum Myeongjo" w:hAnsi="Nanum Myeongjo"/>
          <w:b w:val="1"/>
          <w:color w:val="000000"/>
          <w:sz w:val="26"/>
          <w:szCs w:val="26"/>
          <w:rtl w:val="0"/>
        </w:rPr>
        <w:t xml:space="preserve"> </w:t>
      </w:r>
      <w:r w:rsidDel="00000000" w:rsidR="00000000" w:rsidRPr="00000000">
        <w:rPr>
          <w:b w:val="1"/>
          <w:color w:val="000000"/>
          <w:sz w:val="26"/>
          <w:szCs w:val="26"/>
          <w:rtl w:val="0"/>
        </w:rPr>
        <w:t xml:space="preserve">오근정</w:t>
      </w:r>
      <w:r w:rsidDel="00000000" w:rsidR="00000000" w:rsidRPr="00000000">
        <w:rPr>
          <w:rtl w:val="0"/>
        </w:rPr>
      </w:r>
    </w:p>
    <w:p w:rsidR="00000000" w:rsidDel="00000000" w:rsidP="00000000" w:rsidRDefault="00000000" w:rsidRPr="00000000" w14:paraId="00000005">
      <w:pPr>
        <w:spacing w:line="72" w:lineRule="auto"/>
        <w:jc w:val="right"/>
        <w:rPr>
          <w:rFonts w:ascii="Nanum Myeongjo" w:cs="Nanum Myeongjo" w:eastAsia="Nanum Myeongjo" w:hAnsi="Nanum Myeongjo"/>
          <w:b w:val="1"/>
          <w:color w:val="000000"/>
          <w:sz w:val="26"/>
          <w:szCs w:val="26"/>
        </w:rPr>
      </w:pPr>
      <w:r w:rsidDel="00000000" w:rsidR="00000000" w:rsidRPr="00000000">
        <w:rPr>
          <w:rFonts w:ascii="Nanum Myeongjo" w:cs="Nanum Myeongjo" w:eastAsia="Nanum Myeongjo" w:hAnsi="Nanum Myeongjo"/>
          <w:b w:val="1"/>
          <w:color w:val="000000"/>
          <w:sz w:val="26"/>
          <w:szCs w:val="26"/>
          <w:rtl w:val="0"/>
        </w:rPr>
        <w:t xml:space="preserve">3</w:t>
      </w:r>
      <w:r w:rsidDel="00000000" w:rsidR="00000000" w:rsidRPr="00000000">
        <w:rPr>
          <w:b w:val="1"/>
          <w:color w:val="000000"/>
          <w:sz w:val="26"/>
          <w:szCs w:val="26"/>
          <w:rtl w:val="0"/>
        </w:rPr>
        <w:t xml:space="preserve">304</w:t>
      </w:r>
      <w:r w:rsidDel="00000000" w:rsidR="00000000" w:rsidRPr="00000000">
        <w:rPr>
          <w:rFonts w:ascii="Nanum Myeongjo" w:cs="Nanum Myeongjo" w:eastAsia="Nanum Myeongjo" w:hAnsi="Nanum Myeongjo"/>
          <w:b w:val="1"/>
          <w:color w:val="000000"/>
          <w:sz w:val="26"/>
          <w:szCs w:val="26"/>
          <w:rtl w:val="0"/>
        </w:rPr>
        <w:t xml:space="preserve"> </w:t>
      </w:r>
      <w:r w:rsidDel="00000000" w:rsidR="00000000" w:rsidRPr="00000000">
        <w:rPr>
          <w:b w:val="1"/>
          <w:color w:val="000000"/>
          <w:sz w:val="26"/>
          <w:szCs w:val="26"/>
          <w:rtl w:val="0"/>
        </w:rPr>
        <w:t xml:space="preserve">경규헌</w:t>
      </w:r>
      <w:r w:rsidDel="00000000" w:rsidR="00000000" w:rsidRPr="00000000">
        <w:rPr>
          <w:rtl w:val="0"/>
        </w:rPr>
      </w:r>
    </w:p>
    <w:p w:rsidR="00000000" w:rsidDel="00000000" w:rsidP="00000000" w:rsidRDefault="00000000" w:rsidRPr="00000000" w14:paraId="00000006">
      <w:pPr>
        <w:spacing w:line="72" w:lineRule="auto"/>
        <w:jc w:val="right"/>
        <w:rPr>
          <w:rFonts w:ascii="Nanum Myeongjo" w:cs="Nanum Myeongjo" w:eastAsia="Nanum Myeongjo" w:hAnsi="Nanum Myeongjo"/>
          <w:b w:val="1"/>
          <w:color w:val="000000"/>
          <w:sz w:val="26"/>
          <w:szCs w:val="26"/>
        </w:rPr>
      </w:pPr>
      <w:r w:rsidDel="00000000" w:rsidR="00000000" w:rsidRPr="00000000">
        <w:rPr>
          <w:rtl w:val="0"/>
        </w:rPr>
      </w:r>
    </w:p>
    <w:p w:rsidR="00000000" w:rsidDel="00000000" w:rsidP="00000000" w:rsidRDefault="00000000" w:rsidRPr="00000000" w14:paraId="00000007">
      <w:pPr>
        <w:jc w:val="right"/>
        <w:rPr>
          <w:color w:val="000000"/>
          <w:sz w:val="26"/>
          <w:szCs w:val="26"/>
        </w:rPr>
      </w:pPr>
      <w:r w:rsidDel="00000000" w:rsidR="00000000" w:rsidRPr="00000000">
        <w:rPr>
          <w:rtl w:val="0"/>
        </w:rPr>
      </w:r>
    </w:p>
    <w:tbl>
      <w:tblPr>
        <w:tblStyle w:val="Table1"/>
        <w:tblW w:w="9029.0" w:type="dxa"/>
        <w:jc w:val="righ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00000" w:space="0" w:sz="12" w:val="single"/>
              <w:left w:color="000000" w:space="0" w:sz="0" w:val="nil"/>
              <w:bottom w:color="000000"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color w:val="000000"/>
              </w:rPr>
            </w:pPr>
            <w:r w:rsidDel="00000000" w:rsidR="00000000" w:rsidRPr="00000000">
              <w:rPr>
                <w:b w:val="1"/>
                <w:color w:val="000000"/>
                <w:rtl w:val="0"/>
              </w:rPr>
              <w:t xml:space="preserve">Abstract</w:t>
            </w:r>
          </w:p>
          <w:p w:rsidR="00000000" w:rsidDel="00000000" w:rsidP="00000000" w:rsidRDefault="00000000" w:rsidRPr="00000000" w14:paraId="00000009">
            <w:pPr>
              <w:widowControl w:val="0"/>
              <w:spacing w:after="240" w:before="240" w:line="240" w:lineRule="auto"/>
              <w:jc w:val="both"/>
              <w:rPr>
                <w:b w:val="1"/>
                <w:color w:val="000000"/>
              </w:rPr>
            </w:pPr>
            <w:r w:rsidDel="00000000" w:rsidR="00000000" w:rsidRPr="00000000">
              <w:rPr>
                <w:b w:val="1"/>
                <w:color w:val="000000"/>
                <w:sz w:val="20"/>
                <w:szCs w:val="20"/>
                <w:rtl w:val="0"/>
              </w:rPr>
              <w:t xml:space="preserve">전력망 사업에서 수요와 공급 예측은 매우 중요한 과제이다. 특히, 탄소중립을 목표로 재생 에너지의 비율을 높이기 위해서는 변동성이 큰 재생 에너지 발전량을 최대한 정확하게 예측해야 하는데,  인공지능(AI)을 활용하면 발전량을 비교적 정확히 예측할 수 있다. 본 연구에서는 기계학습 알고리즘 중 하나인 선형회귀의 원리를 이해하고 이를 통해 태양광 발전량 예측 모델을 만드는 방법을 소개한다.</w:t>
            </w:r>
            <w:r w:rsidDel="00000000" w:rsidR="00000000" w:rsidRPr="00000000">
              <w:rPr>
                <w:rtl w:val="0"/>
              </w:rPr>
            </w:r>
          </w:p>
        </w:tc>
      </w:tr>
    </w:tbl>
    <w:p w:rsidR="00000000" w:rsidDel="00000000" w:rsidP="00000000" w:rsidRDefault="00000000" w:rsidRPr="00000000" w14:paraId="0000000A">
      <w:pPr>
        <w:ind w:left="0" w:firstLine="0"/>
        <w:jc w:val="both"/>
        <w:rPr>
          <w:color w:val="000000"/>
        </w:rPr>
      </w:pPr>
      <w:r w:rsidDel="00000000" w:rsidR="00000000" w:rsidRPr="00000000">
        <w:rPr>
          <w:rFonts w:ascii="NanumMyeongjo ExtraBold" w:cs="NanumMyeongjo ExtraBold" w:eastAsia="NanumMyeongjo ExtraBold" w:hAnsi="NanumMyeongjo ExtraBold"/>
          <w:color w:val="000000"/>
          <w:rtl w:val="0"/>
        </w:rPr>
        <w:t xml:space="preserve"> </w:t>
      </w:r>
      <w:r w:rsidDel="00000000" w:rsidR="00000000" w:rsidRPr="00000000">
        <w:rPr>
          <w:color w:val="000000"/>
          <w:rtl w:val="0"/>
        </w:rPr>
        <w:t xml:space="preserve">전력망은 크게 공급, 전송, 소비의 세 부분으로 나뉜다. 발전소에서 생산되는 전력량을 예측하고 소비자의 수요에 맞춰 에너지를 효율적으로 공급하기 위해 AI가 활용된다. 에너지 분야뿐만 아니라 여러 산업에서도 수요와 공급을 예측하는 데 AI가 사용된다. 탄소중립 목표를 위해 재생 에너지 비율이 확대되면서 에너지 분야에서 AI의 필요성이 커지고 있다. 기존의 에너지원과 달리 재생 에너지는 여러 요인의 영향을 받아 발전량이 일정하지 않다. 발전량의 변동성은 에너지 공급에 불확실성을 초래하므로 재생 에너지 발전량을 정확히 예측하는 모델을 만드는 것이 매우 중요하다. 이번 연구에서는 AI의 한 분야인 기계 학습의 기본 작동 원리를 익히고, 이를 에너지 분야에 적용한다. 국내 태양광 발전원의 실제 데이터를 사용해 태양광 발전량을 예측하는 모델을 개발하고 이를 통해 연구를 진행한다.</w:t>
      </w:r>
    </w:p>
    <w:p w:rsidR="00000000" w:rsidDel="00000000" w:rsidP="00000000" w:rsidRDefault="00000000" w:rsidRPr="00000000" w14:paraId="0000000B">
      <w:pPr>
        <w:ind w:left="0" w:firstLine="0"/>
        <w:jc w:val="both"/>
        <w:rPr>
          <w:color w:val="000000"/>
        </w:rPr>
      </w:pPr>
      <w:r w:rsidDel="00000000" w:rsidR="00000000" w:rsidRPr="00000000">
        <w:rPr>
          <w:rtl w:val="0"/>
        </w:rPr>
      </w:r>
    </w:p>
    <w:p w:rsidR="00000000" w:rsidDel="00000000" w:rsidP="00000000" w:rsidRDefault="00000000" w:rsidRPr="00000000" w14:paraId="0000000C">
      <w:pPr>
        <w:ind w:left="0" w:firstLine="0"/>
        <w:jc w:val="both"/>
        <w:rPr>
          <w:color w:val="000000"/>
        </w:rPr>
      </w:pPr>
      <w:r w:rsidDel="00000000" w:rsidR="00000000" w:rsidRPr="00000000">
        <w:rPr>
          <w:rtl w:val="0"/>
        </w:rPr>
      </w:r>
    </w:p>
    <w:p w:rsidR="00000000" w:rsidDel="00000000" w:rsidP="00000000" w:rsidRDefault="00000000" w:rsidRPr="00000000" w14:paraId="0000000D">
      <w:pPr>
        <w:ind w:left="0" w:firstLine="0"/>
        <w:jc w:val="both"/>
        <w:rPr>
          <w:rFonts w:ascii="NanumMyeongjo ExtraBold" w:cs="NanumMyeongjo ExtraBold" w:eastAsia="NanumMyeongjo ExtraBold" w:hAnsi="NanumMyeongjo ExtraBold"/>
          <w:color w:val="000000"/>
        </w:rPr>
      </w:pPr>
      <w:r w:rsidDel="00000000" w:rsidR="00000000" w:rsidRPr="00000000">
        <w:rPr>
          <w:rtl w:val="0"/>
        </w:rPr>
      </w:r>
    </w:p>
    <w:p w:rsidR="00000000" w:rsidDel="00000000" w:rsidP="00000000" w:rsidRDefault="00000000" w:rsidRPr="00000000" w14:paraId="0000000E">
      <w:pPr>
        <w:ind w:left="0" w:firstLine="0"/>
        <w:jc w:val="both"/>
        <w:rPr>
          <w:rFonts w:ascii="NanumMyeongjo ExtraBold" w:cs="NanumMyeongjo ExtraBold" w:eastAsia="NanumMyeongjo ExtraBold" w:hAnsi="NanumMyeongjo ExtraBold"/>
          <w:color w:val="000000"/>
        </w:rPr>
      </w:pPr>
      <w:r w:rsidDel="00000000" w:rsidR="00000000" w:rsidRPr="00000000">
        <w:rPr>
          <w:rFonts w:ascii="NanumMyeongjo ExtraBold" w:cs="NanumMyeongjo ExtraBold" w:eastAsia="NanumMyeongjo ExtraBold" w:hAnsi="NanumMyeongjo ExtraBold"/>
          <w:color w:val="000000"/>
          <w:rtl w:val="0"/>
        </w:rPr>
        <w:t xml:space="preserve">배경이론</w:t>
      </w:r>
    </w:p>
    <w:p w:rsidR="00000000" w:rsidDel="00000000" w:rsidP="00000000" w:rsidRDefault="00000000" w:rsidRPr="00000000" w14:paraId="0000000F">
      <w:pPr>
        <w:spacing w:after="240" w:before="240" w:lineRule="auto"/>
        <w:jc w:val="both"/>
        <w:rPr>
          <w:color w:val="000000"/>
        </w:rPr>
      </w:pPr>
      <w:r w:rsidDel="00000000" w:rsidR="00000000" w:rsidRPr="00000000">
        <w:rPr>
          <w:color w:val="000000"/>
          <w:rtl w:val="0"/>
        </w:rPr>
        <w:t xml:space="preserve"> 기계학습은 인공지능의 한 분야로, 컴퓨터가 데이터를 기반으로 학습하고 이를 통해 다양한 작업을 수행할 수 있도록 하는 기술이다. 기계학습은 크게 세 가지 주요 유형으로 나뉜다: 지도학습, 비지도학습, 강화학습이다.</w:t>
      </w:r>
    </w:p>
    <w:p w:rsidR="00000000" w:rsidDel="00000000" w:rsidP="00000000" w:rsidRDefault="00000000" w:rsidRPr="00000000" w14:paraId="00000010">
      <w:pPr>
        <w:pStyle w:val="Heading3"/>
        <w:keepNext w:val="0"/>
        <w:keepLines w:val="0"/>
        <w:spacing w:before="280" w:lineRule="auto"/>
        <w:jc w:val="both"/>
        <w:rPr>
          <w:color w:val="000000"/>
          <w:sz w:val="24"/>
          <w:szCs w:val="24"/>
        </w:rPr>
      </w:pPr>
      <w:bookmarkStart w:colFirst="0" w:colLast="0" w:name="_78kk5tr7l13b" w:id="1"/>
      <w:bookmarkEnd w:id="1"/>
      <w:r w:rsidDel="00000000" w:rsidR="00000000" w:rsidRPr="00000000">
        <w:rPr>
          <w:color w:val="000000"/>
          <w:sz w:val="24"/>
          <w:szCs w:val="24"/>
          <w:rtl w:val="0"/>
        </w:rPr>
        <w:t xml:space="preserve">1. 지도학습 (Supervised Learning)</w:t>
      </w:r>
    </w:p>
    <w:p w:rsidR="00000000" w:rsidDel="00000000" w:rsidP="00000000" w:rsidRDefault="00000000" w:rsidRPr="00000000" w14:paraId="00000011">
      <w:pPr>
        <w:pStyle w:val="Heading3"/>
        <w:keepNext w:val="0"/>
        <w:keepLines w:val="0"/>
        <w:spacing w:before="280" w:lineRule="auto"/>
        <w:jc w:val="both"/>
        <w:rPr>
          <w:color w:val="000000"/>
          <w:sz w:val="24"/>
          <w:szCs w:val="24"/>
        </w:rPr>
      </w:pPr>
      <w:bookmarkStart w:colFirst="0" w:colLast="0" w:name="_pzy5ndjjiejb" w:id="2"/>
      <w:bookmarkEnd w:id="2"/>
      <w:r w:rsidDel="00000000" w:rsidR="00000000" w:rsidRPr="00000000">
        <w:rPr>
          <w:color w:val="000000"/>
          <w:sz w:val="24"/>
          <w:szCs w:val="24"/>
          <w:rtl w:val="0"/>
        </w:rPr>
        <w:t xml:space="preserve"> 지도학습은 입력 데이터와 이에 대응하는 정답(레이블)을 사용하여 학습하는 방법으로, 분류와 회귀로 나뉜다. 분류는 이메일이 스팸인지 아닌지 분류 하거나, 이미지를 보고 사진 속에 있는 물체를 분류하는 작업을 예로 들 수 있다. 회귀는 주택 가격 예측이나 주식 가격 예측 등 연속적인 값을 예측하는 작업을 예로 들 수 있다. 지도학습의 예로는 선형회귀, 로지스틱 회귀, 서포트 벡터 머신 등이 있다.</w:t>
      </w:r>
    </w:p>
    <w:p w:rsidR="00000000" w:rsidDel="00000000" w:rsidP="00000000" w:rsidRDefault="00000000" w:rsidRPr="00000000" w14:paraId="00000012">
      <w:pPr>
        <w:pStyle w:val="Heading3"/>
        <w:keepNext w:val="0"/>
        <w:keepLines w:val="0"/>
        <w:spacing w:before="280" w:lineRule="auto"/>
        <w:jc w:val="both"/>
        <w:rPr>
          <w:color w:val="000000"/>
          <w:sz w:val="24"/>
          <w:szCs w:val="24"/>
        </w:rPr>
      </w:pPr>
      <w:bookmarkStart w:colFirst="0" w:colLast="0" w:name="_kqoahatblrp2" w:id="3"/>
      <w:bookmarkEnd w:id="3"/>
      <w:r w:rsidDel="00000000" w:rsidR="00000000" w:rsidRPr="00000000">
        <w:rPr>
          <w:color w:val="000000"/>
          <w:sz w:val="24"/>
          <w:szCs w:val="24"/>
          <w:rtl w:val="0"/>
        </w:rPr>
        <w:t xml:space="preserve">2. 비지도학습 (Unsupervised Learning)</w:t>
      </w:r>
    </w:p>
    <w:p w:rsidR="00000000" w:rsidDel="00000000" w:rsidP="00000000" w:rsidRDefault="00000000" w:rsidRPr="00000000" w14:paraId="00000013">
      <w:pPr>
        <w:spacing w:after="240" w:before="240" w:lineRule="auto"/>
        <w:jc w:val="both"/>
        <w:rPr>
          <w:color w:val="000000"/>
        </w:rPr>
      </w:pPr>
      <w:r w:rsidDel="00000000" w:rsidR="00000000" w:rsidRPr="00000000">
        <w:rPr>
          <w:color w:val="000000"/>
          <w:rtl w:val="0"/>
        </w:rPr>
        <w:t xml:space="preserve">비지도학습은 입력 데이터에 대한 정답(레이블) 없이 학습하는 방법으로, 클러스터링과 차원축소를 예로 들 수 있다. 비지도 학습의 알고리즘은 데이터의 구조를 이해하고, 유사한 데이터끼리 그룹화하거나 데이터의 숨겨진 패턴을 찾는다. 클러스터링은 고객을 유사한 그룹으로 분류하거나, 뉴스 기사를 주제별로 그룹화하는 작업을 예로 들 수 있다. 차원 축소는 고차원의 데이터를 저차원으로 변환하여 시각화하거나, 데이터의 중요한 특징을 추출하는 작업이 해당한다. 비지도 학습의 대표 알고리즘으로는 K-평균 클러스터링 , 주성분 분석 등이 있다.</w:t>
      </w:r>
    </w:p>
    <w:p w:rsidR="00000000" w:rsidDel="00000000" w:rsidP="00000000" w:rsidRDefault="00000000" w:rsidRPr="00000000" w14:paraId="00000014">
      <w:pPr>
        <w:pStyle w:val="Heading3"/>
        <w:keepNext w:val="0"/>
        <w:keepLines w:val="0"/>
        <w:spacing w:before="280" w:lineRule="auto"/>
        <w:jc w:val="both"/>
        <w:rPr>
          <w:color w:val="000000"/>
          <w:sz w:val="24"/>
          <w:szCs w:val="24"/>
        </w:rPr>
      </w:pPr>
      <w:bookmarkStart w:colFirst="0" w:colLast="0" w:name="_xofmk99ordy0" w:id="4"/>
      <w:bookmarkEnd w:id="4"/>
      <w:r w:rsidDel="00000000" w:rsidR="00000000" w:rsidRPr="00000000">
        <w:rPr>
          <w:color w:val="000000"/>
          <w:sz w:val="24"/>
          <w:szCs w:val="24"/>
          <w:rtl w:val="0"/>
        </w:rPr>
        <w:t xml:space="preserve">3. 강화학습 (Reinforcement Learning)</w:t>
      </w:r>
    </w:p>
    <w:p w:rsidR="00000000" w:rsidDel="00000000" w:rsidP="00000000" w:rsidRDefault="00000000" w:rsidRPr="00000000" w14:paraId="00000015">
      <w:pPr>
        <w:spacing w:after="240" w:before="240" w:lineRule="auto"/>
        <w:jc w:val="both"/>
        <w:rPr>
          <w:color w:val="000000"/>
        </w:rPr>
      </w:pPr>
      <w:r w:rsidDel="00000000" w:rsidR="00000000" w:rsidRPr="00000000">
        <w:rPr>
          <w:color w:val="000000"/>
          <w:rtl w:val="0"/>
        </w:rPr>
        <w:t xml:space="preserve">강화학습은 에이전트가 환경과 상호작용하며 최적의 행동을 학습하는 방법이다. 에이전트는 상태를 관찰하고, 행동을 취하며, 그 결과로 보상을 받는다. 보상을 최대화하는 방향으로 학습한다. 게임 플레이, 로봇 제어 등에 강화학습이 이용된다. Q-러닝 등이 대표적인 강화학습 알고리즘에 해당된다.</w:t>
      </w:r>
    </w:p>
    <w:p w:rsidR="00000000" w:rsidDel="00000000" w:rsidP="00000000" w:rsidRDefault="00000000" w:rsidRPr="00000000" w14:paraId="00000016">
      <w:pPr>
        <w:spacing w:after="240" w:before="240" w:lineRule="auto"/>
        <w:jc w:val="both"/>
        <w:rPr>
          <w:color w:val="000000"/>
        </w:rPr>
      </w:pPr>
      <w:r w:rsidDel="00000000" w:rsidR="00000000" w:rsidRPr="00000000">
        <w:rPr>
          <w:color w:val="000000"/>
          <w:rtl w:val="0"/>
        </w:rPr>
        <w:t xml:space="preserve">기계학습은 이 외에도 반지도학습, 자기 지도 학습 등 다양한 하위 분야가 존재하며, 각 유형은 특정 문제를 해결하기 위해 고안되었다. 기계학습 알고리즘을 선택하고 적용하는 것은 문제의 성격, 데이터의 특성, 필요한 성능 등에 따라 달라진다.</w:t>
      </w:r>
    </w:p>
    <w:p w:rsidR="00000000" w:rsidDel="00000000" w:rsidP="00000000" w:rsidRDefault="00000000" w:rsidRPr="00000000" w14:paraId="00000017">
      <w:pPr>
        <w:ind w:left="0" w:firstLine="0"/>
        <w:jc w:val="both"/>
        <w:rPr>
          <w:color w:val="000000"/>
        </w:rPr>
      </w:pPr>
      <w:r w:rsidDel="00000000" w:rsidR="00000000" w:rsidRPr="00000000">
        <w:rPr>
          <w:color w:val="000000"/>
          <w:rtl w:val="0"/>
        </w:rPr>
        <w:t xml:space="preserve">4. 선형회귀</w:t>
      </w:r>
    </w:p>
    <w:p w:rsidR="00000000" w:rsidDel="00000000" w:rsidP="00000000" w:rsidRDefault="00000000" w:rsidRPr="00000000" w14:paraId="00000018">
      <w:pPr>
        <w:jc w:val="both"/>
        <w:rPr>
          <w:color w:val="000000"/>
        </w:rPr>
      </w:pPr>
      <w:r w:rsidDel="00000000" w:rsidR="00000000" w:rsidRPr="00000000">
        <w:rPr>
          <w:color w:val="000000"/>
          <w:rtl w:val="0"/>
        </w:rPr>
        <w:t xml:space="preserve">선형 회귀 문제의 해결을 위한 모델은 크게 가설 설정, 비용 함수, 경사 하강법의 세 단계로 나뉜다. 예제코드를 통해 선형회귀 실습을 진행헀다.</w:t>
      </w:r>
    </w:p>
    <w:p w:rsidR="00000000" w:rsidDel="00000000" w:rsidP="00000000" w:rsidRDefault="00000000" w:rsidRPr="00000000" w14:paraId="00000019">
      <w:pPr>
        <w:jc w:val="both"/>
        <w:rPr>
          <w:color w:val="000000"/>
        </w:rPr>
      </w:pPr>
      <w:r w:rsidDel="00000000" w:rsidR="00000000" w:rsidRPr="00000000">
        <w:rPr>
          <w:color w:val="000000"/>
          <w:rtl w:val="0"/>
        </w:rPr>
        <w:t xml:space="preserve"> 1) 가설 설정</w:t>
      </w:r>
    </w:p>
    <w:p w:rsidR="00000000" w:rsidDel="00000000" w:rsidP="00000000" w:rsidRDefault="00000000" w:rsidRPr="00000000" w14:paraId="0000001A">
      <w:pPr>
        <w:jc w:val="both"/>
        <w:rPr>
          <w:color w:val="000000"/>
        </w:rPr>
      </w:pPr>
      <w:r w:rsidDel="00000000" w:rsidR="00000000" w:rsidRPr="00000000">
        <w:rPr>
          <w:color w:val="000000"/>
          <w:rtl w:val="0"/>
        </w:rPr>
        <w:t xml:space="preserve">첫 번째 단계는 가설을 세우는 것입니다. 선형 회귀 문제의 가설은 다음과 같은 형태를 갖는다. 여기서 W와 b는 초기에는 임의의 값으로 설정되고, 예제 코드에서는 W와 b를 0으로 초기화한다.</w:t>
      </w:r>
    </w:p>
    <w:p w:rsidR="00000000" w:rsidDel="00000000" w:rsidP="00000000" w:rsidRDefault="00000000" w:rsidRPr="00000000" w14:paraId="0000001B">
      <w:pPr>
        <w:jc w:val="both"/>
        <w:rPr>
          <w:color w:val="000000"/>
        </w:rPr>
      </w:pPr>
      <w:r w:rsidDel="00000000" w:rsidR="00000000" w:rsidRPr="00000000">
        <w:rPr>
          <w:color w:val="000000"/>
        </w:rPr>
        <w:drawing>
          <wp:inline distB="114300" distT="114300" distL="114300" distR="114300">
            <wp:extent cx="1433513" cy="209578"/>
            <wp:effectExtent b="0" l="0" r="0" t="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433513" cy="209578"/>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jc w:val="both"/>
        <w:rPr>
          <w:color w:val="000000"/>
        </w:rPr>
      </w:pPr>
      <w:r w:rsidDel="00000000" w:rsidR="00000000" w:rsidRPr="00000000">
        <w:rPr>
          <w:color w:val="000000"/>
          <w:rtl w:val="0"/>
        </w:rPr>
        <w:t xml:space="preserve">2) 비용 함수</w:t>
      </w:r>
    </w:p>
    <w:p w:rsidR="00000000" w:rsidDel="00000000" w:rsidP="00000000" w:rsidRDefault="00000000" w:rsidRPr="00000000" w14:paraId="0000001D">
      <w:pPr>
        <w:jc w:val="both"/>
        <w:rPr>
          <w:color w:val="000000"/>
        </w:rPr>
      </w:pPr>
      <w:r w:rsidDel="00000000" w:rsidR="00000000" w:rsidRPr="00000000">
        <w:rPr>
          <w:color w:val="000000"/>
          <w:rtl w:val="0"/>
        </w:rPr>
        <w:t xml:space="preserve">현재 모델이 얼마나 잘못되었는지를 나타내는 지표가 필요한데, 이를 비용 함수라고 하며, 회귀 문제에서는 주로 평균 제곱 오차(Mean Square Error, MSE)를 사용합니다. 비용 함수는 다음과 같이 정의된다. 여기서 N은 데이터의 개수, p는 예측값 Wx+b, y는 실제 레이블 값이다.</w:t>
      </w:r>
    </w:p>
    <w:p w:rsidR="00000000" w:rsidDel="00000000" w:rsidP="00000000" w:rsidRDefault="00000000" w:rsidRPr="00000000" w14:paraId="0000001E">
      <w:pPr>
        <w:jc w:val="both"/>
        <w:rPr>
          <w:color w:val="000000"/>
        </w:rPr>
      </w:pPr>
      <w:r w:rsidDel="00000000" w:rsidR="00000000" w:rsidRPr="00000000">
        <w:rPr>
          <w:color w:val="000000"/>
        </w:rPr>
        <w:drawing>
          <wp:inline distB="114300" distT="114300" distL="114300" distR="114300">
            <wp:extent cx="2071688" cy="544482"/>
            <wp:effectExtent b="0" l="0" r="0" t="0"/>
            <wp:docPr id="1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71688" cy="54448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color w:val="000000"/>
        </w:rPr>
      </w:pPr>
      <w:r w:rsidDel="00000000" w:rsidR="00000000" w:rsidRPr="00000000">
        <w:rPr>
          <w:color w:val="000000"/>
          <w:rtl w:val="0"/>
        </w:rPr>
        <w:t xml:space="preserve">3.)경사 하강법</w:t>
      </w:r>
    </w:p>
    <w:p w:rsidR="00000000" w:rsidDel="00000000" w:rsidP="00000000" w:rsidRDefault="00000000" w:rsidRPr="00000000" w14:paraId="00000020">
      <w:pPr>
        <w:jc w:val="both"/>
        <w:rPr>
          <w:color w:val="000000"/>
        </w:rPr>
      </w:pPr>
      <w:r w:rsidDel="00000000" w:rsidR="00000000" w:rsidRPr="00000000">
        <w:rPr>
          <w:color w:val="000000"/>
          <w:rtl w:val="0"/>
        </w:rPr>
        <w:t xml:space="preserve">모델이 가장 정답과 근접한 예측값을 가질 때는 비용 함수 W가 최솟값일 때이다. 이를 찾기 위해 경사 하강법 알고리즘이 사용된다. 경사 하강법은 비용 함수를 가중치에 대해 미분하여 최솟값을 찾아가는데, 수식으로 나타내면 다음과 같다. </w:t>
      </w:r>
    </w:p>
    <w:p w:rsidR="00000000" w:rsidDel="00000000" w:rsidP="00000000" w:rsidRDefault="00000000" w:rsidRPr="00000000" w14:paraId="00000021">
      <w:pPr>
        <w:jc w:val="both"/>
        <w:rPr>
          <w:color w:val="000000"/>
        </w:rPr>
      </w:pPr>
      <w:r w:rsidDel="00000000" w:rsidR="00000000" w:rsidRPr="00000000">
        <w:rPr>
          <w:color w:val="000000"/>
        </w:rPr>
        <w:drawing>
          <wp:inline distB="114300" distT="114300" distL="114300" distR="114300">
            <wp:extent cx="1547813" cy="397136"/>
            <wp:effectExtent b="0" l="0" r="0" t="0"/>
            <wp:docPr id="1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547813" cy="397136"/>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jc w:val="both"/>
        <w:rPr>
          <w:color w:val="000000"/>
        </w:rPr>
      </w:pPr>
      <w:r w:rsidDel="00000000" w:rsidR="00000000" w:rsidRPr="00000000">
        <w:rPr>
          <w:rtl w:val="0"/>
        </w:rPr>
      </w:r>
    </w:p>
    <w:p w:rsidR="00000000" w:rsidDel="00000000" w:rsidP="00000000" w:rsidRDefault="00000000" w:rsidRPr="00000000" w14:paraId="00000023">
      <w:pPr>
        <w:ind w:left="0" w:firstLine="0"/>
        <w:jc w:val="both"/>
        <w:rPr>
          <w:rFonts w:ascii="NanumMyeongjo ExtraBold" w:cs="NanumMyeongjo ExtraBold" w:eastAsia="NanumMyeongjo ExtraBold" w:hAnsi="NanumMyeongjo ExtraBold"/>
          <w:color w:val="000000"/>
        </w:rPr>
      </w:pPr>
      <w:r w:rsidDel="00000000" w:rsidR="00000000" w:rsidRPr="00000000">
        <w:rPr>
          <w:rFonts w:ascii="NanumMyeongjo ExtraBold" w:cs="NanumMyeongjo ExtraBold" w:eastAsia="NanumMyeongjo ExtraBold" w:hAnsi="NanumMyeongjo ExtraBold"/>
          <w:color w:val="000000"/>
          <w:rtl w:val="0"/>
        </w:rPr>
        <w:t xml:space="preserve">탐구 제안</w:t>
      </w:r>
    </w:p>
    <w:p w:rsidR="00000000" w:rsidDel="00000000" w:rsidP="00000000" w:rsidRDefault="00000000" w:rsidRPr="00000000" w14:paraId="00000024">
      <w:pPr>
        <w:ind w:left="0" w:firstLine="0"/>
        <w:jc w:val="both"/>
        <w:rPr>
          <w:color w:val="000000"/>
        </w:rPr>
      </w:pPr>
      <w:r w:rsidDel="00000000" w:rsidR="00000000" w:rsidRPr="00000000">
        <w:rPr>
          <w:color w:val="000000"/>
          <w:rtl w:val="0"/>
        </w:rPr>
        <w:t xml:space="preserve">Q1. 태양광 발전량에 가장 큰 영향을 미치는 요인은 무엇인가?</w:t>
      </w:r>
    </w:p>
    <w:p w:rsidR="00000000" w:rsidDel="00000000" w:rsidP="00000000" w:rsidRDefault="00000000" w:rsidRPr="00000000" w14:paraId="00000025">
      <w:pPr>
        <w:jc w:val="both"/>
        <w:rPr>
          <w:color w:val="000000"/>
        </w:rPr>
      </w:pPr>
      <w:r w:rsidDel="00000000" w:rsidR="00000000" w:rsidRPr="00000000">
        <w:rPr>
          <w:color w:val="000000"/>
          <w:rtl w:val="0"/>
        </w:rPr>
        <w:t xml:space="preserve">일사량(Solar radiation)은 태양으로부터 지구 표면에 도달하는 태양 에너지의 총량을 의미한다. 이는 태양광 패널이 실제로 흡수하여 전기 에너지로 변환할 수 있는 에너지의 양을 직접적으로 결정하게 된다. 높은 일사량은 더 많은 태양 에너지가 패널에 도달함을 의미하며, 이는 곧 더 높은 전기 생산량으로 이어진다. 태양광 패널은 일정한 효율성을 가지고 있으며, 더 많은 일사량을 받을수록 그 효율성에 따라 더 많은 전력을 생산할 수 있다. 따라서 일사량은 태양광 발전량의 핵심 결정 요인이다. 일조 시간은 하루 중 태양광 패널이 태양에 노출되는 시간을 의미한다. 일조 시간이 길수록 태양광 패널이 에너지를 흡수할 수 있는 시간이 많아지며, 이는 더 많은 전기를 생산할 수 있게 한다.태양광 발전은 태양이 떠 있는 동안에만 가능한다. 따라서 일조 시간이 길수록 태양광 발전 시스템이 작동하는 시간이 늘어나고, 이는 발전량의 증가로 이어진다.일사량과 일조 시간은 태양광 발전량에 가장 큰 영향을 미치는 요인이다. 일사량은 태양광 패널이 흡수할 수 있는 에너지의 양을 직접적으로 결정하고, 일조 시간은 패널이 태양에 노출되는 시간을 의미하기 때문에, 이 두 가지 요인은 태양광 발전의 효율성과 생산량을 결정하는 데 핵심적인 역할을 한다.</w:t>
      </w:r>
    </w:p>
    <w:p w:rsidR="00000000" w:rsidDel="00000000" w:rsidP="00000000" w:rsidRDefault="00000000" w:rsidRPr="00000000" w14:paraId="00000026">
      <w:pPr>
        <w:rPr>
          <w:color w:val="000000"/>
        </w:rPr>
      </w:pPr>
      <w:r w:rsidDel="00000000" w:rsidR="00000000" w:rsidRPr="00000000">
        <w:rPr>
          <w:color w:val="000000"/>
          <w:rtl w:val="0"/>
        </w:rPr>
        <w:t xml:space="preserve">Q2. 예측의 속도나 정확도를 올리기 위해 어떤 방법을 사용할 수 있을까?</w:t>
      </w:r>
    </w:p>
    <w:p w:rsidR="00000000" w:rsidDel="00000000" w:rsidP="00000000" w:rsidRDefault="00000000" w:rsidRPr="00000000" w14:paraId="00000027">
      <w:pPr>
        <w:rPr>
          <w:color w:val="000000"/>
        </w:rPr>
      </w:pPr>
      <w:r w:rsidDel="00000000" w:rsidR="00000000" w:rsidRPr="00000000">
        <w:rPr>
          <w:color w:val="000000"/>
          <w:rtl w:val="0"/>
        </w:rPr>
        <w:t xml:space="preserve">태양광 발전량 예측 모델의 예측 속도와 정확도를 높이기 위해 여러 가지 접근 방법을 고려할 수 있는데, 주요 방법은 데이터 전처리, 모델 개선, 하이퍼파라미터 튜닝, 피처 엔지니어링, 그리고 더 복잡한 모델 사용 등이 있다. </w:t>
      </w:r>
    </w:p>
    <w:p w:rsidR="00000000" w:rsidDel="00000000" w:rsidP="00000000" w:rsidRDefault="00000000" w:rsidRPr="00000000" w14:paraId="00000028">
      <w:pPr>
        <w:rPr>
          <w:color w:val="000000"/>
        </w:rPr>
      </w:pPr>
      <w:r w:rsidDel="00000000" w:rsidR="00000000" w:rsidRPr="00000000">
        <w:rPr>
          <w:color w:val="000000"/>
          <w:rtl w:val="0"/>
        </w:rPr>
        <w:t xml:space="preserve">1)데이터 전처리</w:t>
      </w:r>
    </w:p>
    <w:p w:rsidR="00000000" w:rsidDel="00000000" w:rsidP="00000000" w:rsidRDefault="00000000" w:rsidRPr="00000000" w14:paraId="00000029">
      <w:pPr>
        <w:rPr>
          <w:color w:val="000000"/>
        </w:rPr>
      </w:pPr>
      <w:r w:rsidDel="00000000" w:rsidR="00000000" w:rsidRPr="00000000">
        <w:rPr>
          <w:color w:val="000000"/>
          <w:rtl w:val="0"/>
        </w:rPr>
        <w:t xml:space="preserve">데이터에 결측지가 있는지 확인하고, 이를 적절히 처리한다. 또는 입력 피처를 스케일링하여 모델의 성능을 향상시킬 수 있다. 아래 코드는 StandardScaler를 사용하여 피처를 정규화한 코드이다. </w:t>
      </w:r>
    </w:p>
    <w:p w:rsidR="00000000" w:rsidDel="00000000" w:rsidP="00000000" w:rsidRDefault="00000000" w:rsidRPr="00000000" w14:paraId="0000002A">
      <w:pPr>
        <w:rPr>
          <w:color w:val="000000"/>
        </w:rPr>
      </w:pPr>
      <w:r w:rsidDel="00000000" w:rsidR="00000000" w:rsidRPr="00000000">
        <w:rPr>
          <w:color w:val="000000"/>
        </w:rPr>
        <w:drawing>
          <wp:inline distB="114300" distT="114300" distL="114300" distR="114300">
            <wp:extent cx="2376488" cy="650985"/>
            <wp:effectExtent b="0" l="0" r="0" t="0"/>
            <wp:docPr id="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376488" cy="65098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rPr>
          <w:color w:val="000000"/>
        </w:rPr>
      </w:pPr>
      <w:r w:rsidDel="00000000" w:rsidR="00000000" w:rsidRPr="00000000">
        <w:rPr>
          <w:color w:val="000000"/>
          <w:rtl w:val="0"/>
        </w:rPr>
        <w:t xml:space="preserve">2) 피처 엔지니어링</w:t>
      </w:r>
    </w:p>
    <w:p w:rsidR="00000000" w:rsidDel="00000000" w:rsidP="00000000" w:rsidRDefault="00000000" w:rsidRPr="00000000" w14:paraId="0000002C">
      <w:pPr>
        <w:rPr>
          <w:color w:val="000000"/>
        </w:rPr>
      </w:pPr>
      <w:r w:rsidDel="00000000" w:rsidR="00000000" w:rsidRPr="00000000">
        <w:rPr>
          <w:color w:val="000000"/>
          <w:rtl w:val="0"/>
        </w:rPr>
        <w:t xml:space="preserve">태양광 발전량은 일사 시간 외에도 다른 피처들에 영향을 받을 수 있기 때문에, 이러한 피처들을 추가하여 모델을 개선할 수 있다. </w:t>
      </w:r>
    </w:p>
    <w:p w:rsidR="00000000" w:rsidDel="00000000" w:rsidP="00000000" w:rsidRDefault="00000000" w:rsidRPr="00000000" w14:paraId="0000002D">
      <w:pPr>
        <w:rPr>
          <w:color w:val="000000"/>
        </w:rPr>
      </w:pPr>
      <w:r w:rsidDel="00000000" w:rsidR="00000000" w:rsidRPr="00000000">
        <w:rPr>
          <w:color w:val="000000"/>
          <w:rtl w:val="0"/>
        </w:rPr>
        <w:t xml:space="preserve">3)다양한 모델 시도</w:t>
      </w:r>
    </w:p>
    <w:p w:rsidR="00000000" w:rsidDel="00000000" w:rsidP="00000000" w:rsidRDefault="00000000" w:rsidRPr="00000000" w14:paraId="0000002E">
      <w:pPr>
        <w:rPr>
          <w:color w:val="000000"/>
        </w:rPr>
      </w:pPr>
      <w:r w:rsidDel="00000000" w:rsidR="00000000" w:rsidRPr="00000000">
        <w:rPr>
          <w:color w:val="000000"/>
          <w:rtl w:val="0"/>
        </w:rPr>
        <w:t xml:space="preserve">단순 선형 회귀 외에도 결정 트리, 랜덤 포레스트, 그라디언트 부스팅, 또는 딥러닝 모델을 활용하면 모델 성능을 향상시킬 수 있을 것이다. </w:t>
      </w:r>
    </w:p>
    <w:p w:rsidR="00000000" w:rsidDel="00000000" w:rsidP="00000000" w:rsidRDefault="00000000" w:rsidRPr="00000000" w14:paraId="0000002F">
      <w:pPr>
        <w:rPr>
          <w:color w:val="000000"/>
        </w:rPr>
      </w:pPr>
      <w:r w:rsidDel="00000000" w:rsidR="00000000" w:rsidRPr="00000000">
        <w:rPr>
          <w:color w:val="000000"/>
          <w:rtl w:val="0"/>
        </w:rPr>
        <w:t xml:space="preserve">ex) 랜덤 포레스트</w:t>
      </w:r>
    </w:p>
    <w:p w:rsidR="00000000" w:rsidDel="00000000" w:rsidP="00000000" w:rsidRDefault="00000000" w:rsidRPr="00000000" w14:paraId="00000030">
      <w:pPr>
        <w:rPr>
          <w:color w:val="000000"/>
        </w:rPr>
      </w:pPr>
      <w:r w:rsidDel="00000000" w:rsidR="00000000" w:rsidRPr="00000000">
        <w:rPr>
          <w:color w:val="000000"/>
        </w:rPr>
        <w:drawing>
          <wp:inline distB="114300" distT="114300" distL="114300" distR="114300">
            <wp:extent cx="2767013" cy="574546"/>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767013" cy="574546"/>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color w:val="000000"/>
        </w:rPr>
      </w:pPr>
      <w:r w:rsidDel="00000000" w:rsidR="00000000" w:rsidRPr="00000000">
        <w:rPr>
          <w:color w:val="000000"/>
          <w:rtl w:val="0"/>
        </w:rPr>
        <w:t xml:space="preserve">또는 </w:t>
      </w:r>
      <w:r w:rsidDel="00000000" w:rsidR="00000000" w:rsidRPr="00000000">
        <w:rPr>
          <w:rFonts w:ascii="Roboto Mono" w:cs="Roboto Mono" w:eastAsia="Roboto Mono" w:hAnsi="Roboto Mono"/>
          <w:color w:val="000000"/>
          <w:rtl w:val="0"/>
        </w:rPr>
        <w:t xml:space="preserve">train_test_split</w:t>
      </w:r>
      <w:r w:rsidDel="00000000" w:rsidR="00000000" w:rsidRPr="00000000">
        <w:rPr>
          <w:color w:val="000000"/>
          <w:rtl w:val="0"/>
        </w:rPr>
        <w:t xml:space="preserve"> 대신 </w:t>
      </w:r>
      <w:r w:rsidDel="00000000" w:rsidR="00000000" w:rsidRPr="00000000">
        <w:rPr>
          <w:rFonts w:ascii="Roboto Mono" w:cs="Roboto Mono" w:eastAsia="Roboto Mono" w:hAnsi="Roboto Mono"/>
          <w:color w:val="000000"/>
          <w:rtl w:val="0"/>
        </w:rPr>
        <w:t xml:space="preserve">cross_val_score</w:t>
      </w:r>
      <w:r w:rsidDel="00000000" w:rsidR="00000000" w:rsidRPr="00000000">
        <w:rPr>
          <w:color w:val="000000"/>
          <w:rtl w:val="0"/>
        </w:rPr>
        <w:t xml:space="preserve">를 사용하여 더 안정적인 성능 평가를 할 수 있다.</w:t>
      </w:r>
    </w:p>
    <w:p w:rsidR="00000000" w:rsidDel="00000000" w:rsidP="00000000" w:rsidRDefault="00000000" w:rsidRPr="00000000" w14:paraId="00000032">
      <w:pPr>
        <w:rPr>
          <w:color w:val="000000"/>
        </w:rPr>
      </w:pPr>
      <w:r w:rsidDel="00000000" w:rsidR="00000000" w:rsidRPr="00000000">
        <w:rPr>
          <w:color w:val="000000"/>
        </w:rPr>
        <w:drawing>
          <wp:inline distB="114300" distT="114300" distL="114300" distR="114300">
            <wp:extent cx="3586163" cy="595708"/>
            <wp:effectExtent b="0" l="0" r="0" t="0"/>
            <wp:docPr id="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3586163" cy="595708"/>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color w:val="000000"/>
        </w:rPr>
      </w:pPr>
      <w:r w:rsidDel="00000000" w:rsidR="00000000" w:rsidRPr="00000000">
        <w:rPr>
          <w:rtl w:val="0"/>
        </w:rPr>
      </w:r>
    </w:p>
    <w:p w:rsidR="00000000" w:rsidDel="00000000" w:rsidP="00000000" w:rsidRDefault="00000000" w:rsidRPr="00000000" w14:paraId="00000034">
      <w:pPr>
        <w:rPr>
          <w:color w:val="000000"/>
        </w:rPr>
      </w:pPr>
      <w:r w:rsidDel="00000000" w:rsidR="00000000" w:rsidRPr="00000000">
        <w:rPr>
          <w:color w:val="000000"/>
          <w:rtl w:val="0"/>
        </w:rPr>
        <w:t xml:space="preserve">4) 하이퍼파라미터 튜닝</w:t>
      </w:r>
    </w:p>
    <w:p w:rsidR="00000000" w:rsidDel="00000000" w:rsidP="00000000" w:rsidRDefault="00000000" w:rsidRPr="00000000" w14:paraId="00000035">
      <w:pPr>
        <w:rPr>
          <w:color w:val="000000"/>
        </w:rPr>
      </w:pPr>
      <w:r w:rsidDel="00000000" w:rsidR="00000000" w:rsidRPr="00000000">
        <w:rPr>
          <w:color w:val="000000"/>
          <w:rtl w:val="0"/>
        </w:rPr>
        <w:t xml:space="preserve">‘GridSearchCV’를 사용하여 최적의 하이퍼파라미터를 찾을 수 있다. </w:t>
      </w:r>
    </w:p>
    <w:p w:rsidR="00000000" w:rsidDel="00000000" w:rsidP="00000000" w:rsidRDefault="00000000" w:rsidRPr="00000000" w14:paraId="00000036">
      <w:pPr>
        <w:rPr>
          <w:color w:val="000000"/>
        </w:rPr>
      </w:pPr>
      <w:r w:rsidDel="00000000" w:rsidR="00000000" w:rsidRPr="00000000">
        <w:rPr>
          <w:color w:val="000000"/>
        </w:rPr>
        <w:drawing>
          <wp:inline distB="114300" distT="114300" distL="114300" distR="114300">
            <wp:extent cx="4271963" cy="1142502"/>
            <wp:effectExtent b="0" l="0" r="0" t="0"/>
            <wp:docPr id="1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4271963" cy="1142502"/>
                    </a:xfrm>
                    <a:prstGeom prst="rect"/>
                    <a:ln/>
                  </pic:spPr>
                </pic:pic>
              </a:graphicData>
            </a:graphic>
          </wp:inline>
        </w:drawing>
      </w:r>
      <w:r w:rsidDel="00000000" w:rsidR="00000000" w:rsidRPr="00000000">
        <w:rPr>
          <w:color w:val="000000"/>
          <w:rtl w:val="0"/>
        </w:rPr>
        <w:t xml:space="preserve"> </w:t>
      </w:r>
    </w:p>
    <w:p w:rsidR="00000000" w:rsidDel="00000000" w:rsidP="00000000" w:rsidRDefault="00000000" w:rsidRPr="00000000" w14:paraId="00000037">
      <w:pPr>
        <w:rPr>
          <w:color w:val="000000"/>
        </w:rPr>
      </w:pPr>
      <w:r w:rsidDel="00000000" w:rsidR="00000000" w:rsidRPr="00000000">
        <w:rPr>
          <w:rtl w:val="0"/>
        </w:rPr>
      </w:r>
    </w:p>
    <w:p w:rsidR="00000000" w:rsidDel="00000000" w:rsidP="00000000" w:rsidRDefault="00000000" w:rsidRPr="00000000" w14:paraId="00000038">
      <w:pPr>
        <w:rPr>
          <w:color w:val="000000"/>
        </w:rPr>
      </w:pPr>
      <w:r w:rsidDel="00000000" w:rsidR="00000000" w:rsidRPr="00000000">
        <w:rPr>
          <w:color w:val="000000"/>
          <w:rtl w:val="0"/>
        </w:rPr>
        <w:t xml:space="preserve">Q3. 제시한 방법을 활용하여 모델을 제작해보고, 결과를 분석한다. </w:t>
      </w:r>
    </w:p>
    <w:p w:rsidR="00000000" w:rsidDel="00000000" w:rsidP="00000000" w:rsidRDefault="00000000" w:rsidRPr="00000000" w14:paraId="00000039">
      <w:pPr>
        <w:rPr>
          <w:color w:val="000000"/>
        </w:rPr>
      </w:pPr>
      <w:r w:rsidDel="00000000" w:rsidR="00000000" w:rsidRPr="00000000">
        <w:rPr>
          <w:color w:val="000000"/>
          <w:rtl w:val="0"/>
        </w:rPr>
        <w:t xml:space="preserve">단순 선형 회귀 대신 Light GBM를 이용해 학습을 진행했고, 회귀 모델 성능 평가 지표로 이용되는 RMSE를 이용했다. </w:t>
      </w:r>
    </w:p>
    <w:p w:rsidR="00000000" w:rsidDel="00000000" w:rsidP="00000000" w:rsidRDefault="00000000" w:rsidRPr="00000000" w14:paraId="0000003A">
      <w:pPr>
        <w:rPr>
          <w:color w:val="000000"/>
        </w:rPr>
      </w:pPr>
      <w:r w:rsidDel="00000000" w:rsidR="00000000" w:rsidRPr="00000000">
        <w:rPr>
          <w:color w:val="000000"/>
          <w:rtl w:val="0"/>
        </w:rPr>
        <w:t xml:space="preserve">-단순 선형 회귀 RMSE</w:t>
      </w:r>
    </w:p>
    <w:p w:rsidR="00000000" w:rsidDel="00000000" w:rsidP="00000000" w:rsidRDefault="00000000" w:rsidRPr="00000000" w14:paraId="0000003B">
      <w:pPr>
        <w:rPr>
          <w:color w:val="000000"/>
        </w:rPr>
      </w:pPr>
      <w:r w:rsidDel="00000000" w:rsidR="00000000" w:rsidRPr="00000000">
        <w:rPr>
          <w:color w:val="000000"/>
        </w:rPr>
        <w:drawing>
          <wp:inline distB="114300" distT="114300" distL="114300" distR="114300">
            <wp:extent cx="5181600" cy="257175"/>
            <wp:effectExtent b="0" l="0" r="0" t="0"/>
            <wp:docPr id="7"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5181600" cy="25717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color w:val="000000"/>
        </w:rPr>
      </w:pPr>
      <w:r w:rsidDel="00000000" w:rsidR="00000000" w:rsidRPr="00000000">
        <w:rPr>
          <w:color w:val="000000"/>
          <w:rtl w:val="0"/>
        </w:rPr>
        <w:t xml:space="preserve">-LightGBM RMSE</w:t>
      </w:r>
    </w:p>
    <w:p w:rsidR="00000000" w:rsidDel="00000000" w:rsidP="00000000" w:rsidRDefault="00000000" w:rsidRPr="00000000" w14:paraId="0000003D">
      <w:pPr>
        <w:rPr>
          <w:color w:val="000000"/>
        </w:rPr>
      </w:pPr>
      <w:r w:rsidDel="00000000" w:rsidR="00000000" w:rsidRPr="00000000">
        <w:rPr>
          <w:color w:val="000000"/>
        </w:rPr>
        <w:drawing>
          <wp:inline distB="114300" distT="114300" distL="114300" distR="114300">
            <wp:extent cx="3295650" cy="209550"/>
            <wp:effectExtent b="0" l="0" r="0" t="0"/>
            <wp:docPr id="11"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3295650" cy="20955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color w:val="000000"/>
        </w:rPr>
      </w:pPr>
      <w:r w:rsidDel="00000000" w:rsidR="00000000" w:rsidRPr="00000000">
        <w:rPr>
          <w:color w:val="000000"/>
          <w:rtl w:val="0"/>
        </w:rPr>
        <w:t xml:space="preserve">Q4. x, y가 비선형 관계를 가질 때 , 회귀분석에 대한 아이디어를 제시한다.</w:t>
      </w:r>
    </w:p>
    <w:p w:rsidR="00000000" w:rsidDel="00000000" w:rsidP="00000000" w:rsidRDefault="00000000" w:rsidRPr="00000000" w14:paraId="0000003F">
      <w:pPr>
        <w:ind w:left="0" w:firstLine="0"/>
        <w:rPr>
          <w:color w:val="000000"/>
        </w:rPr>
      </w:pPr>
      <w:r w:rsidDel="00000000" w:rsidR="00000000" w:rsidRPr="00000000">
        <w:rPr>
          <w:color w:val="000000"/>
          <w:rtl w:val="0"/>
        </w:rPr>
        <w:t xml:space="preserve">비선형 관계를 가지는 x와 y의 경우, 선형 회귀 모델은 적합하지 않을 수 있다. 이 경우에는 다음과 같은 아이디어를 고려해 볼 수 있다.</w:t>
      </w:r>
    </w:p>
    <w:p w:rsidR="00000000" w:rsidDel="00000000" w:rsidP="00000000" w:rsidRDefault="00000000" w:rsidRPr="00000000" w14:paraId="00000040">
      <w:pPr>
        <w:ind w:left="0" w:firstLine="0"/>
        <w:rPr>
          <w:color w:val="000000"/>
        </w:rPr>
      </w:pPr>
      <w:r w:rsidDel="00000000" w:rsidR="00000000" w:rsidRPr="00000000">
        <w:rPr>
          <w:color w:val="000000"/>
          <w:rtl w:val="0"/>
        </w:rPr>
        <w:t xml:space="preserve">1)다항 회귀</w:t>
      </w:r>
    </w:p>
    <w:p w:rsidR="00000000" w:rsidDel="00000000" w:rsidP="00000000" w:rsidRDefault="00000000" w:rsidRPr="00000000" w14:paraId="00000041">
      <w:pPr>
        <w:ind w:left="0" w:firstLine="0"/>
        <w:rPr>
          <w:color w:val="000000"/>
        </w:rPr>
      </w:pPr>
      <w:r w:rsidDel="00000000" w:rsidR="00000000" w:rsidRPr="00000000">
        <w:rPr>
          <w:color w:val="000000"/>
          <w:rtl w:val="0"/>
        </w:rPr>
        <w:t xml:space="preserve">다항회귀는 x와 y의 비선형 관계를 설명하기 위해 x의 다항식 형태로 모델을 확장하는 방법이다. 예를 들어, x를 x, x^2, x^3 등의 다항식으로 변환하여 선형 회귀 모델을 적용할 수 있다.</w:t>
      </w:r>
    </w:p>
    <w:p w:rsidR="00000000" w:rsidDel="00000000" w:rsidP="00000000" w:rsidRDefault="00000000" w:rsidRPr="00000000" w14:paraId="00000042">
      <w:pPr>
        <w:ind w:left="0" w:firstLine="0"/>
        <w:rPr>
          <w:color w:val="000000"/>
        </w:rPr>
      </w:pPr>
      <w:r w:rsidDel="00000000" w:rsidR="00000000" w:rsidRPr="00000000">
        <w:rPr>
          <w:color w:val="000000"/>
          <w:rtl w:val="0"/>
        </w:rPr>
        <w:t xml:space="preserve">2) 비선형 변환</w:t>
      </w:r>
    </w:p>
    <w:p w:rsidR="00000000" w:rsidDel="00000000" w:rsidP="00000000" w:rsidRDefault="00000000" w:rsidRPr="00000000" w14:paraId="00000043">
      <w:pPr>
        <w:ind w:left="0" w:firstLine="0"/>
        <w:rPr>
          <w:color w:val="000000"/>
        </w:rPr>
      </w:pPr>
      <w:r w:rsidDel="00000000" w:rsidR="00000000" w:rsidRPr="00000000">
        <w:rPr>
          <w:color w:val="000000"/>
          <w:rtl w:val="0"/>
        </w:rPr>
        <w:t xml:space="preserve">x나 y를 로그 변환, 지수 변환 등의 비선형 함수를 적용하여 선형 관계를 강화할 수 있다. 이를 통해 데이터의 분포를 변환하거나 특정 패턴을 효과적으로 확인할 수 있을 것이다.</w:t>
      </w:r>
    </w:p>
    <w:p w:rsidR="00000000" w:rsidDel="00000000" w:rsidP="00000000" w:rsidRDefault="00000000" w:rsidRPr="00000000" w14:paraId="00000044">
      <w:pPr>
        <w:ind w:left="0" w:firstLine="0"/>
        <w:rPr>
          <w:color w:val="000000"/>
        </w:rPr>
      </w:pPr>
      <w:r w:rsidDel="00000000" w:rsidR="00000000" w:rsidRPr="00000000">
        <w:rPr>
          <w:color w:val="000000"/>
          <w:rtl w:val="0"/>
        </w:rPr>
        <w:t xml:space="preserve">3)비선형 회귀 모델 </w:t>
      </w:r>
    </w:p>
    <w:p w:rsidR="00000000" w:rsidDel="00000000" w:rsidP="00000000" w:rsidRDefault="00000000" w:rsidRPr="00000000" w14:paraId="00000045">
      <w:pPr>
        <w:ind w:left="0" w:firstLine="0"/>
        <w:rPr>
          <w:color w:val="000000"/>
        </w:rPr>
      </w:pPr>
      <w:r w:rsidDel="00000000" w:rsidR="00000000" w:rsidRPr="00000000">
        <w:rPr>
          <w:color w:val="000000"/>
          <w:rtl w:val="0"/>
        </w:rPr>
        <w:t xml:space="preserve">의사 결정 트리 기반의 DecisionTreeRegressor나 RandomForestRegressor과 같이 비선형 관계를 직접 모델링할 수 있는 다양한 비선형 회귀 모델을 이용한다.</w:t>
      </w:r>
    </w:p>
    <w:p w:rsidR="00000000" w:rsidDel="00000000" w:rsidP="00000000" w:rsidRDefault="00000000" w:rsidRPr="00000000" w14:paraId="00000046">
      <w:pPr>
        <w:ind w:left="0" w:firstLine="0"/>
        <w:rPr>
          <w:rFonts w:ascii="NanumMyeongjo ExtraBold" w:cs="NanumMyeongjo ExtraBold" w:eastAsia="NanumMyeongjo ExtraBold" w:hAnsi="NanumMyeongjo ExtraBold"/>
          <w:color w:val="000000"/>
        </w:rPr>
      </w:pPr>
      <w:r w:rsidDel="00000000" w:rsidR="00000000" w:rsidRPr="00000000">
        <w:rPr>
          <w:rtl w:val="0"/>
        </w:rPr>
      </w:r>
    </w:p>
    <w:sectPr>
      <w:headerReference r:id="rId16" w:type="default"/>
      <w:headerReference r:id="rId17" w:type="first"/>
      <w:footerReference r:id="rId18" w:type="default"/>
      <w:footerReference r:id="rId1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NanumMyeongjo ExtraBold">
    <w:embedBold w:fontKey="{00000000-0000-0000-0000-000000000000}" r:id="rId1" w:subsetted="0"/>
  </w:font>
  <w:font w:name="Roboto Mono">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Nanum Myeongjo">
    <w:embedRegular w:fontKey="{00000000-0000-0000-0000-000000000000}" r:id="rId6" w:subsetted="0"/>
    <w:embedBold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9">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360000</wp:posOffset>
              </wp:positionV>
              <wp:extent cx="5562600" cy="220469"/>
              <wp:effectExtent b="0" l="0" r="0" t="0"/>
              <wp:wrapNone/>
              <wp:docPr id="2" name=""/>
              <a:graphic>
                <a:graphicData uri="http://schemas.microsoft.com/office/word/2010/wordprocessingGroup">
                  <wpg:wgp>
                    <wpg:cNvGrpSpPr/>
                    <wpg:grpSpPr>
                      <a:xfrm>
                        <a:off x="0" y="0"/>
                        <a:ext cx="5562600" cy="220469"/>
                        <a:chOff x="0" y="0"/>
                        <a:chExt cx="6234125" cy="237450"/>
                      </a:xfrm>
                    </wpg:grpSpPr>
                    <wps:wsp>
                      <wps:cNvSpPr/>
                      <wps:cNvPr id="7" name="Shape 7"/>
                      <wps:spPr>
                        <a:xfrm>
                          <a:off x="-28975" y="-1400"/>
                          <a:ext cx="6263100" cy="224700"/>
                        </a:xfrm>
                        <a:prstGeom prst="rect">
                          <a:avLst/>
                        </a:prstGeom>
                        <a:gradFill>
                          <a:gsLst>
                            <a:gs pos="0">
                              <a:srgbClr val="3176EE"/>
                            </a:gs>
                            <a:gs pos="100000">
                              <a:srgbClr val="113D8A"/>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118192" y="-77250"/>
                          <a:ext cx="4030500" cy="3147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othic A1" w:cs="Gothic A1" w:eastAsia="Gothic A1" w:hAnsi="Gothic A1"/>
                                <w:b w:val="0"/>
                                <w:i w:val="0"/>
                                <w:smallCaps w:val="0"/>
                                <w:strike w:val="0"/>
                                <w:color w:val="ffffff"/>
                                <w:sz w:val="26"/>
                                <w:vertAlign w:val="baseline"/>
                              </w:rPr>
                              <w:t xml:space="preserve">전북과학고등학교</w:t>
                            </w:r>
                          </w:p>
                        </w:txbxContent>
                      </wps:txbx>
                      <wps:bodyPr anchorCtr="0" anchor="t" bIns="91425" lIns="91425" spcFirstLastPara="1" rIns="91425" wrap="square" tIns="91425">
                        <a:noAutofit/>
                      </wps:bodyPr>
                    </wps:wsp>
                    <wps:wsp>
                      <wps:cNvSpPr txBox="1"/>
                      <wps:cNvPr id="4" name="Shape 4"/>
                      <wps:spPr>
                        <a:xfrm>
                          <a:off x="103000" y="-87651"/>
                          <a:ext cx="2020200" cy="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ffffff"/>
                                <w:sz w:val="26"/>
                                <w:vertAlign w:val="baseline"/>
                              </w:rPr>
                              <w:t xml:space="preserve">www.js.hs.kr</w:t>
                            </w:r>
                          </w:p>
                        </w:txbxContent>
                      </wps:txbx>
                      <wps:bodyPr anchorCtr="0" anchor="t"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360000</wp:posOffset>
              </wp:positionV>
              <wp:extent cx="5562600" cy="220469"/>
              <wp:effectExtent b="0" l="0" r="0" t="0"/>
              <wp:wrapNone/>
              <wp:docPr id="2"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5562600" cy="220469"/>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A">
    <w:pPr>
      <w:jc w:val="center"/>
      <w:rPr/>
    </w:pPr>
    <w:r w:rsidDel="00000000" w:rsidR="00000000" w:rsidRPr="00000000">
      <w:rPr/>
      <mc:AlternateContent>
        <mc:Choice Requires="wpg">
          <w:drawing>
            <wp:inline distB="114300" distT="114300" distL="114300" distR="114300">
              <wp:extent cx="5562600" cy="220469"/>
              <wp:effectExtent b="0" l="0" r="0" t="0"/>
              <wp:docPr id="3" name=""/>
              <a:graphic>
                <a:graphicData uri="http://schemas.microsoft.com/office/word/2010/wordprocessingGroup">
                  <wpg:wgp>
                    <wpg:cNvGrpSpPr/>
                    <wpg:grpSpPr>
                      <a:xfrm>
                        <a:off x="0" y="0"/>
                        <a:ext cx="5562600" cy="220469"/>
                        <a:chOff x="0" y="0"/>
                        <a:chExt cx="6234125" cy="237450"/>
                      </a:xfrm>
                    </wpg:grpSpPr>
                    <wps:wsp>
                      <wps:cNvSpPr/>
                      <wps:cNvPr id="7" name="Shape 7"/>
                      <wps:spPr>
                        <a:xfrm>
                          <a:off x="-28975" y="-1400"/>
                          <a:ext cx="6263100" cy="224700"/>
                        </a:xfrm>
                        <a:prstGeom prst="rect">
                          <a:avLst/>
                        </a:prstGeom>
                        <a:gradFill>
                          <a:gsLst>
                            <a:gs pos="0">
                              <a:srgbClr val="3176EE"/>
                            </a:gs>
                            <a:gs pos="100000">
                              <a:srgbClr val="113D8A"/>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 name="Shape 3"/>
                      <wps:spPr>
                        <a:xfrm>
                          <a:off x="2118192" y="-77250"/>
                          <a:ext cx="4030500" cy="3147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Gothic A1" w:cs="Gothic A1" w:eastAsia="Gothic A1" w:hAnsi="Gothic A1"/>
                                <w:b w:val="0"/>
                                <w:i w:val="0"/>
                                <w:smallCaps w:val="0"/>
                                <w:strike w:val="0"/>
                                <w:color w:val="ffffff"/>
                                <w:sz w:val="26"/>
                                <w:vertAlign w:val="baseline"/>
                              </w:rPr>
                              <w:t xml:space="preserve">전북과학고등학교</w:t>
                            </w:r>
                          </w:p>
                        </w:txbxContent>
                      </wps:txbx>
                      <wps:bodyPr anchorCtr="0" anchor="t" bIns="91425" lIns="91425" spcFirstLastPara="1" rIns="91425" wrap="square" tIns="91425">
                        <a:noAutofit/>
                      </wps:bodyPr>
                    </wps:wsp>
                    <wps:wsp>
                      <wps:cNvSpPr txBox="1"/>
                      <wps:cNvPr id="4" name="Shape 4"/>
                      <wps:spPr>
                        <a:xfrm>
                          <a:off x="103000" y="-87651"/>
                          <a:ext cx="2020200" cy="314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Roboto" w:cs="Roboto" w:eastAsia="Roboto" w:hAnsi="Roboto"/>
                                <w:b w:val="0"/>
                                <w:i w:val="0"/>
                                <w:smallCaps w:val="0"/>
                                <w:strike w:val="0"/>
                                <w:color w:val="ffffff"/>
                                <w:sz w:val="26"/>
                                <w:vertAlign w:val="baseline"/>
                              </w:rPr>
                              <w:t xml:space="preserve">www.js.hs.kr</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562600" cy="220469"/>
              <wp:effectExtent b="0" l="0" r="0" t="0"/>
              <wp:docPr id="3"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5562600" cy="22046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B">
    <w:pPr>
      <w:jc w:val="cente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7">
    <w:pPr>
      <w:jc w:val="left"/>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-247649</wp:posOffset>
              </wp:positionV>
              <wp:extent cx="5562000" cy="690175"/>
              <wp:effectExtent b="0" l="0" r="0" t="0"/>
              <wp:wrapNone/>
              <wp:docPr id="1" name=""/>
              <a:graphic>
                <a:graphicData uri="http://schemas.microsoft.com/office/word/2010/wordprocessingGroup">
                  <wpg:wgp>
                    <wpg:cNvGrpSpPr/>
                    <wpg:grpSpPr>
                      <a:xfrm>
                        <a:off x="604800" y="732050"/>
                        <a:ext cx="5562000" cy="690175"/>
                        <a:chOff x="604800" y="732050"/>
                        <a:chExt cx="6503175" cy="785975"/>
                      </a:xfrm>
                    </wpg:grpSpPr>
                    <wpg:grpSp>
                      <wpg:cNvGrpSpPr/>
                      <wpg:grpSpPr>
                        <a:xfrm>
                          <a:off x="604818" y="732071"/>
                          <a:ext cx="6503142" cy="785947"/>
                          <a:chOff x="604818" y="732071"/>
                          <a:chExt cx="6503142" cy="785947"/>
                        </a:xfrm>
                      </wpg:grpSpPr>
                      <wps:wsp>
                        <wps:cNvSpPr txBox="1"/>
                        <wps:cNvPr id="3" name="Shape 3"/>
                        <wps:spPr>
                          <a:xfrm>
                            <a:off x="4011660" y="757427"/>
                            <a:ext cx="3096300" cy="314700"/>
                          </a:xfrm>
                          <a:prstGeom prst="rect">
                            <a:avLst/>
                          </a:prstGeom>
                          <a:noFill/>
                          <a:ln>
                            <a:noFill/>
                          </a:ln>
                        </wps:spPr>
                        <wps:txbx>
                          <w:txbxContent>
                            <w:p w:rsidR="00000000" w:rsidDel="00000000" w:rsidP="00000000" w:rsidRDefault="00000000" w:rsidRPr="00000000">
                              <w:pPr>
                                <w:spacing w:after="0" w:before="0" w:line="192.00000286102295"/>
                                <w:ind w:left="0" w:right="0" w:firstLine="0"/>
                                <w:jc w:val="right"/>
                                <w:textDirection w:val="btLr"/>
                              </w:pPr>
                              <w:r w:rsidDel="00000000" w:rsidR="00000000" w:rsidRPr="00000000">
                                <w:rPr>
                                  <w:rFonts w:ascii="Roboto Light" w:cs="Roboto Light" w:eastAsia="Roboto Light" w:hAnsi="Roboto Light"/>
                                  <w:b w:val="0"/>
                                  <w:i w:val="0"/>
                                  <w:smallCaps w:val="0"/>
                                  <w:strike w:val="0"/>
                                  <w:color w:val="225bbe"/>
                                  <w:sz w:val="32"/>
                                  <w:vertAlign w:val="baseline"/>
                                </w:rPr>
                                <w:t xml:space="preserve">JeonBuk </w:t>
                              </w:r>
                            </w:p>
                            <w:p w:rsidR="00000000" w:rsidDel="00000000" w:rsidP="00000000" w:rsidRDefault="00000000" w:rsidRPr="00000000">
                              <w:pPr>
                                <w:spacing w:after="0" w:before="0" w:line="192.00000286102295"/>
                                <w:ind w:left="0" w:right="0" w:firstLine="0"/>
                                <w:jc w:val="right"/>
                                <w:textDirection w:val="btLr"/>
                              </w:pPr>
                              <w:r w:rsidDel="00000000" w:rsidR="00000000" w:rsidRPr="00000000">
                                <w:rPr>
                                  <w:rFonts w:ascii="Roboto Light" w:cs="Roboto Light" w:eastAsia="Roboto Light" w:hAnsi="Roboto Light"/>
                                  <w:b w:val="0"/>
                                  <w:i w:val="0"/>
                                  <w:smallCaps w:val="0"/>
                                  <w:strike w:val="0"/>
                                  <w:color w:val="225bbe"/>
                                  <w:sz w:val="32"/>
                                  <w:vertAlign w:val="baseline"/>
                                </w:rPr>
                              </w:r>
                              <w:r w:rsidDel="00000000" w:rsidR="00000000" w:rsidRPr="00000000">
                                <w:rPr>
                                  <w:rFonts w:ascii="Roboto Light" w:cs="Roboto Light" w:eastAsia="Roboto Light" w:hAnsi="Roboto Light"/>
                                  <w:b w:val="0"/>
                                  <w:i w:val="0"/>
                                  <w:smallCaps w:val="0"/>
                                  <w:strike w:val="0"/>
                                  <w:color w:val="225bbe"/>
                                  <w:sz w:val="32"/>
                                  <w:vertAlign w:val="baseline"/>
                                </w:rPr>
                                <w:t xml:space="preserve">Science Highschool</w:t>
                              </w:r>
                            </w:p>
                          </w:txbxContent>
                        </wps:txbx>
                        <wps:bodyPr anchorCtr="0" anchor="t" bIns="91425" lIns="91425" spcFirstLastPara="1" rIns="91425" wrap="square" tIns="91425">
                          <a:noAutofit/>
                        </wps:bodyPr>
                      </wps:wsp>
                      <wps:wsp>
                        <wps:cNvSpPr txBox="1"/>
                        <wps:cNvPr id="4" name="Shape 4"/>
                        <wps:spPr>
                          <a:xfrm>
                            <a:off x="656171" y="884471"/>
                            <a:ext cx="2020200" cy="36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othic A1" w:cs="Gothic A1" w:eastAsia="Gothic A1" w:hAnsi="Gothic A1"/>
                                  <w:b w:val="1"/>
                                  <w:i w:val="0"/>
                                  <w:smallCaps w:val="0"/>
                                  <w:strike w:val="0"/>
                                  <w:color w:val="225bbe"/>
                                  <w:sz w:val="36"/>
                                  <w:vertAlign w:val="baseline"/>
                                </w:rPr>
                                <w:t xml:space="preserve">전북과학고등학교</w:t>
                              </w:r>
                            </w:p>
                          </w:txbxContent>
                        </wps:txbx>
                        <wps:bodyPr anchorCtr="0" anchor="t" bIns="91425" lIns="91425" spcFirstLastPara="1" rIns="91425" wrap="square" tIns="91425">
                          <a:noAutofit/>
                        </wps:bodyPr>
                      </wps:wsp>
                      <wps:wsp>
                        <wps:cNvSpPr txBox="1"/>
                        <wps:cNvPr id="5" name="Shape 5"/>
                        <wps:spPr>
                          <a:xfrm>
                            <a:off x="604818" y="732071"/>
                            <a:ext cx="2130000" cy="365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ic A1 Light" w:cs="Gothic A1 Light" w:eastAsia="Gothic A1 Light" w:hAnsi="Gothic A1 Light"/>
                                  <w:b w:val="0"/>
                                  <w:i w:val="0"/>
                                  <w:smallCaps w:val="0"/>
                                  <w:strike w:val="0"/>
                                  <w:color w:val="225bbe"/>
                                  <w:sz w:val="20"/>
                                  <w:vertAlign w:val="baseline"/>
                                </w:rPr>
                                <w:t xml:space="preserve">인류를 품에 안고 미래를 창조하는</w:t>
                              </w:r>
                            </w:p>
                          </w:txbxContent>
                        </wps:txbx>
                        <wps:bodyPr anchorCtr="0" anchor="t" bIns="91425" lIns="91425" spcFirstLastPara="1" rIns="91425" wrap="square" tIns="91425">
                          <a:noAutofit/>
                        </wps:bodyPr>
                      </wps:wsp>
                      <wps:wsp>
                        <wps:cNvSpPr/>
                        <wps:cNvPr id="6" name="Shape 6"/>
                        <wps:spPr>
                          <a:xfrm>
                            <a:off x="742509" y="1293318"/>
                            <a:ext cx="6263100" cy="224700"/>
                          </a:xfrm>
                          <a:prstGeom prst="rect">
                            <a:avLst/>
                          </a:prstGeom>
                          <a:gradFill>
                            <a:gsLst>
                              <a:gs pos="0">
                                <a:srgbClr val="3176EE"/>
                              </a:gs>
                              <a:gs pos="100000">
                                <a:srgbClr val="113D8A"/>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-247649</wp:posOffset>
              </wp:positionV>
              <wp:extent cx="5562000" cy="690175"/>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5562000" cy="690175"/>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8">
    <w:pPr>
      <w:jc w:val="cente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-57149</wp:posOffset>
              </wp:positionV>
              <wp:extent cx="5562000" cy="690175"/>
              <wp:effectExtent b="0" l="0" r="0" t="0"/>
              <wp:wrapNone/>
              <wp:docPr id="4" name=""/>
              <a:graphic>
                <a:graphicData uri="http://schemas.microsoft.com/office/word/2010/wordprocessingGroup">
                  <wpg:wgp>
                    <wpg:cNvGrpSpPr/>
                    <wpg:grpSpPr>
                      <a:xfrm>
                        <a:off x="604800" y="732050"/>
                        <a:ext cx="5562000" cy="690175"/>
                        <a:chOff x="604800" y="732050"/>
                        <a:chExt cx="6503175" cy="785975"/>
                      </a:xfrm>
                    </wpg:grpSpPr>
                    <wpg:grpSp>
                      <wpg:cNvGrpSpPr/>
                      <wpg:grpSpPr>
                        <a:xfrm>
                          <a:off x="604818" y="732071"/>
                          <a:ext cx="6503142" cy="785947"/>
                          <a:chOff x="604818" y="732071"/>
                          <a:chExt cx="6503142" cy="785947"/>
                        </a:xfrm>
                      </wpg:grpSpPr>
                      <wps:wsp>
                        <wps:cNvSpPr txBox="1"/>
                        <wps:cNvPr id="3" name="Shape 3"/>
                        <wps:spPr>
                          <a:xfrm>
                            <a:off x="4011660" y="757427"/>
                            <a:ext cx="3096300" cy="314700"/>
                          </a:xfrm>
                          <a:prstGeom prst="rect">
                            <a:avLst/>
                          </a:prstGeom>
                          <a:noFill/>
                          <a:ln>
                            <a:noFill/>
                          </a:ln>
                        </wps:spPr>
                        <wps:txbx>
                          <w:txbxContent>
                            <w:p w:rsidR="00000000" w:rsidDel="00000000" w:rsidP="00000000" w:rsidRDefault="00000000" w:rsidRPr="00000000">
                              <w:pPr>
                                <w:spacing w:after="0" w:before="0" w:line="192.00000286102295"/>
                                <w:ind w:left="0" w:right="0" w:firstLine="0"/>
                                <w:jc w:val="right"/>
                                <w:textDirection w:val="btLr"/>
                              </w:pPr>
                              <w:r w:rsidDel="00000000" w:rsidR="00000000" w:rsidRPr="00000000">
                                <w:rPr>
                                  <w:rFonts w:ascii="Roboto Light" w:cs="Roboto Light" w:eastAsia="Roboto Light" w:hAnsi="Roboto Light"/>
                                  <w:b w:val="0"/>
                                  <w:i w:val="0"/>
                                  <w:smallCaps w:val="0"/>
                                  <w:strike w:val="0"/>
                                  <w:color w:val="225bbe"/>
                                  <w:sz w:val="32"/>
                                  <w:vertAlign w:val="baseline"/>
                                </w:rPr>
                                <w:t xml:space="preserve">Jeon Buk </w:t>
                              </w:r>
                            </w:p>
                            <w:p w:rsidR="00000000" w:rsidDel="00000000" w:rsidP="00000000" w:rsidRDefault="00000000" w:rsidRPr="00000000">
                              <w:pPr>
                                <w:spacing w:after="0" w:before="0" w:line="192.00000286102295"/>
                                <w:ind w:left="0" w:right="0" w:firstLine="0"/>
                                <w:jc w:val="right"/>
                                <w:textDirection w:val="btLr"/>
                              </w:pPr>
                              <w:r w:rsidDel="00000000" w:rsidR="00000000" w:rsidRPr="00000000">
                                <w:rPr>
                                  <w:rFonts w:ascii="Roboto Light" w:cs="Roboto Light" w:eastAsia="Roboto Light" w:hAnsi="Roboto Light"/>
                                  <w:b w:val="0"/>
                                  <w:i w:val="0"/>
                                  <w:smallCaps w:val="0"/>
                                  <w:strike w:val="0"/>
                                  <w:color w:val="225bbe"/>
                                  <w:sz w:val="32"/>
                                  <w:vertAlign w:val="baseline"/>
                                </w:rPr>
                              </w:r>
                              <w:r w:rsidDel="00000000" w:rsidR="00000000" w:rsidRPr="00000000">
                                <w:rPr>
                                  <w:rFonts w:ascii="Roboto Light" w:cs="Roboto Light" w:eastAsia="Roboto Light" w:hAnsi="Roboto Light"/>
                                  <w:b w:val="0"/>
                                  <w:i w:val="0"/>
                                  <w:smallCaps w:val="0"/>
                                  <w:strike w:val="0"/>
                                  <w:color w:val="225bbe"/>
                                  <w:sz w:val="32"/>
                                  <w:vertAlign w:val="baseline"/>
                                </w:rPr>
                                <w:t xml:space="preserve">Science Highschool</w:t>
                              </w:r>
                            </w:p>
                          </w:txbxContent>
                        </wps:txbx>
                        <wps:bodyPr anchorCtr="0" anchor="t" bIns="91425" lIns="91425" spcFirstLastPara="1" rIns="91425" wrap="square" tIns="91425">
                          <a:noAutofit/>
                        </wps:bodyPr>
                      </wps:wsp>
                      <wps:wsp>
                        <wps:cNvSpPr txBox="1"/>
                        <wps:cNvPr id="4" name="Shape 4"/>
                        <wps:spPr>
                          <a:xfrm>
                            <a:off x="656171" y="884471"/>
                            <a:ext cx="2020200" cy="36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Gothic A1" w:cs="Gothic A1" w:eastAsia="Gothic A1" w:hAnsi="Gothic A1"/>
                                  <w:b w:val="1"/>
                                  <w:i w:val="0"/>
                                  <w:smallCaps w:val="0"/>
                                  <w:strike w:val="0"/>
                                  <w:color w:val="225bbe"/>
                                  <w:sz w:val="36"/>
                                  <w:vertAlign w:val="baseline"/>
                                </w:rPr>
                                <w:t xml:space="preserve">전북과학고등학교</w:t>
                              </w:r>
                            </w:p>
                          </w:txbxContent>
                        </wps:txbx>
                        <wps:bodyPr anchorCtr="0" anchor="t" bIns="91425" lIns="91425" spcFirstLastPara="1" rIns="91425" wrap="square" tIns="91425">
                          <a:noAutofit/>
                        </wps:bodyPr>
                      </wps:wsp>
                      <wps:wsp>
                        <wps:cNvSpPr txBox="1"/>
                        <wps:cNvPr id="5" name="Shape 5"/>
                        <wps:spPr>
                          <a:xfrm>
                            <a:off x="604818" y="732071"/>
                            <a:ext cx="2130000" cy="3654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Gothic A1 Light" w:cs="Gothic A1 Light" w:eastAsia="Gothic A1 Light" w:hAnsi="Gothic A1 Light"/>
                                  <w:b w:val="0"/>
                                  <w:i w:val="0"/>
                                  <w:smallCaps w:val="0"/>
                                  <w:strike w:val="0"/>
                                  <w:color w:val="225bbe"/>
                                  <w:sz w:val="20"/>
                                  <w:vertAlign w:val="baseline"/>
                                </w:rPr>
                                <w:t xml:space="preserve">인류를 품에 안고 미래를 창조하는</w:t>
                              </w:r>
                            </w:p>
                          </w:txbxContent>
                        </wps:txbx>
                        <wps:bodyPr anchorCtr="0" anchor="t" bIns="91425" lIns="91425" spcFirstLastPara="1" rIns="91425" wrap="square" tIns="91425">
                          <a:noAutofit/>
                        </wps:bodyPr>
                      </wps:wsp>
                      <wps:wsp>
                        <wps:cNvSpPr/>
                        <wps:cNvPr id="6" name="Shape 6"/>
                        <wps:spPr>
                          <a:xfrm>
                            <a:off x="742509" y="1293318"/>
                            <a:ext cx="6263100" cy="224700"/>
                          </a:xfrm>
                          <a:prstGeom prst="rect">
                            <a:avLst/>
                          </a:prstGeom>
                          <a:gradFill>
                            <a:gsLst>
                              <a:gs pos="0">
                                <a:srgbClr val="3176EE"/>
                              </a:gs>
                              <a:gs pos="100000">
                                <a:srgbClr val="113D8A"/>
                              </a:gs>
                            </a:gsLst>
                            <a:path path="circle">
                              <a:fillToRect b="50%" l="50%" r="50%" t="50%"/>
                            </a:path>
                            <a:tileRect/>
                          </a:gra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257175</wp:posOffset>
              </wp:positionH>
              <wp:positionV relativeFrom="paragraph">
                <wp:posOffset>-57149</wp:posOffset>
              </wp:positionV>
              <wp:extent cx="5562000" cy="690175"/>
              <wp:effectExtent b="0" l="0" r="0" t="0"/>
              <wp:wrapNone/>
              <wp:docPr id="4"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5562000" cy="6901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Nanum Myeongjo" w:cs="Nanum Myeongjo" w:eastAsia="Nanum Myeongjo" w:hAnsi="Nanum Myeongjo"/>
        <w:color w:val="666666"/>
        <w:sz w:val="24"/>
        <w:szCs w:val="24"/>
        <w:lang w:val="ko"/>
      </w:rPr>
    </w:rPrDefault>
    <w:pPrDefault>
      <w:pPr>
        <w:spacing w:after="80" w:before="28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image" Target="media/image8.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9.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anumMyeongjoExtraBold-bold.ttf"/><Relationship Id="rId2" Type="http://schemas.openxmlformats.org/officeDocument/2006/relationships/font" Target="fonts/RobotoMono-regular.ttf"/><Relationship Id="rId3" Type="http://schemas.openxmlformats.org/officeDocument/2006/relationships/font" Target="fonts/RobotoMono-bold.ttf"/><Relationship Id="rId4" Type="http://schemas.openxmlformats.org/officeDocument/2006/relationships/font" Target="fonts/RobotoMono-italic.ttf"/><Relationship Id="rId5" Type="http://schemas.openxmlformats.org/officeDocument/2006/relationships/font" Target="fonts/RobotoMono-boldItalic.ttf"/><Relationship Id="rId6" Type="http://schemas.openxmlformats.org/officeDocument/2006/relationships/font" Target="fonts/NanumMyeongjo-regular.ttf"/><Relationship Id="rId7" Type="http://schemas.openxmlformats.org/officeDocument/2006/relationships/font" Target="fonts/NanumMyeongjo-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MLA" SelectedStyle="/MLASeventhEditionOfficeOnline.xsl" Version="7">
  <b:Source>
    <b:Tag>source1</b:Tag>
    <b:SourceType>DocumentFromInternetSite</b:SourceType>
    <b:Gdcea>{"AccessedType":"Website"}</b:Gdcea>
    <b:Author>
      <b:Author>
        <b:Corporate>월간수소경제</b:Corporate>
      </b:Author>
    </b:Author>
  </b:Source>
</b:Sources>
</file>

<file path=customXML/itemProps1.xml><?xml version="1.0" encoding="utf-8"?>
<ds:datastoreItem xmlns:ds="http://schemas.openxmlformats.org/officeDocument/2006/customXml" ds:itemID="{22222222-1234-1234-1234-123412341234}">
  <ds:schemaRefs>
    <ds:schemaRef ds:uri="http://schemas.openxmlformats.org/officeDocument/2006/bibliography"/>
  </ds:schemaRefs>
</ds:datastoreItem>
</file>