
<file path=[Content_Types].xml><?xml version="1.0" encoding="utf-8"?>
<Types xmlns="http://schemas.openxmlformats.org/package/2006/content-types">
  <Default Extension="jpg" ContentType="application/octet-stream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footer37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z w:val="36"/>
          <w:szCs w:val="36"/>
          <w:shd w:val="clear"/>
          <w:rFonts w:ascii="KoPubWorldBatang Medium" w:eastAsia="KoPubWorldBatang Medium" w:hAnsi="KoPubWorldBatang Medium" w:cs="KoPubWorldBatang Medium"/>
          <w:lang w:eastAsia="ko-KR"/>
        </w:rPr>
      </w:pPr>
      <w:r>
        <w:rPr>
          <w:shd w:val="clear"/>
          <w:rFonts w:ascii="KoPubWorldBatang Medium" w:eastAsia="KoPubWorldBatang Medium" w:hAnsi="KoPubWorldBatang Medium" w:cs="KoPubWorldBatang Medium" w:hint="eastAsia"/>
          <w:lang w:eastAsia="ko-KR"/>
        </w:rPr>
        <w:t xml:space="preserve"> </w:t>
      </w:r>
    </w:p>
    <w:p>
      <w:pPr>
        <w:pStyle w:val="PO157"/>
        <w:rPr>
          <w:b w:val="1"/>
          <w:sz w:val="42"/>
          <w:szCs w:val="42"/>
          <w:shd w:val="clear"/>
          <w:rFonts w:ascii="KoPubWorldBatang Light" w:eastAsia="KoPubWorldBatang Light" w:hAnsi="KoPubWorldBatang Light" w:cs="KoPubWorldBatang Light"/>
          <w:lang w:eastAsia="ko-KR"/>
        </w:rPr>
      </w:pPr>
      <w:r>
        <w:rPr>
          <w:b w:val="1"/>
          <w:sz w:val="42"/>
          <w:szCs w:val="42"/>
          <w:shd w:val="clear"/>
          <w:rFonts w:ascii="KoPubWorldBatang Light" w:eastAsia="KoPubWorldBatang Light" w:hAnsi="KoPubWorldBatang Light" w:cs="KoPubWorldBatang Light"/>
          <w:lang w:eastAsia="ko-KR"/>
        </w:rPr>
        <w:t xml:space="preserve">플라스틱 순환과 벨류체인 구상</w:t>
      </w:r>
    </w:p>
    <w:p>
      <w:pPr>
        <w:pStyle w:val="PO157"/>
        <w:rPr>
          <w:shd w:val="clear"/>
          <w:rFonts w:hint="eastAsia"/>
        </w:rPr>
      </w:pPr>
      <w:r>
        <w:rPr>
          <w:shd w:val="clear"/>
          <w:rFonts w:ascii="KoPubWorldBatang Light" w:eastAsia="KoPubWorldBatang Light" w:hAnsi="KoPubWorldBatang Light" w:cs="KoPubWorldBatang Light" w:hint="eastAsia"/>
          <w:lang w:eastAsia="ko-KR"/>
        </w:rPr>
        <w:t xml:space="preserve">이서진, 김현지, 박나림, 이나연</w:t>
      </w:r>
    </w:p>
    <w:p>
      <w:pPr>
        <w:pStyle w:val="PO157"/>
        <w:sectPr>
          <w:titlePg/>
          <w:type w:val="continuous"/>
          <w:headerReference w:type="default" r:id="rId5"/>
          <w:footerReference w:type="even" r:id="rId6"/>
          <w:footerReference w:type="default" r:id="rId7"/>
          <w:pgSz w:w="12240" w:h="15840" w:code="1"/>
          <w:pgMar w:top="720" w:left="1094" w:bottom="950" w:right="1094" w:gutter="0"/>
          <w:pgNumType w:fmt="decimal"/>
          <w:docGrid w:type="default" w:linePitch="360" w:charSpace="0"/>
        </w:sectPr>
        <w:rPr>
          <w:shd w:val="clear"/>
          <w:rFonts w:ascii="Times New Roman" w:hAnsi="Times New Roman"/>
          <w:lang w:eastAsia="ko-KR"/>
        </w:rPr>
      </w:pPr>
      <w:r>
        <w:rPr>
          <w:shd w:val="clear"/>
          <w:rFonts w:hint="eastAsia"/>
        </w:rPr>
        <w:t>광영여자고등학교</w:t>
      </w:r>
    </w:p>
    <w:p>
      <w:pPr>
        <w:pStyle w:val="PO161"/>
        <w:rPr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rStyle w:val="PO184"/>
          <w:sz w:val="20"/>
          <w:szCs w:val="20"/>
          <w:shd w:val="clear"/>
          <w:rFonts w:ascii="Times New Roman" w:hAnsi="Times New Roman"/>
          <w:lang w:eastAsia="ko-KR"/>
        </w:rPr>
        <w:t>ABSTRACT: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  플라스틱의 생산부터 재활용까지 전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생애주기를 벨류체인 관점에서 분석하고, 지속 가능한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순환 시스템 구축을 위한 통합적 해결 방안을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모색하였다. 생산, 소비, 수거 및 폐기, 처리 및 재활용의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네 단계로 나누어 각 단계의 문제점과 기술·정책적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한계를 문헌조사와 환경자료를 통해 검토하였다. PLA,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PHA 등 생분해성 플라스틱의 활용 가능성, 재활용을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고려한 친환경 디자인, RFID·AI 기반 스마트 수거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시스템, 열분해·광분해 자원화 기술 등을 중심으로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해결책을 제시하였다. 이를 바탕으로 각 단계가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유기적으로 연결된 순환 벨류체인을 구성하였으며,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시스템적 사고를 바탕으로 한 지역 단위 실천 방안의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적용 가능성을 함께 제안하였다. </w:t>
      </w:r>
    </w:p>
    <w:p>
      <w:pPr>
        <w:pStyle w:val="PO185"/>
        <w:rPr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sz w:val="20"/>
          <w:szCs w:val="20"/>
          <w:shd w:val="clear"/>
          <w:rFonts w:ascii="Times New Roman" w:hAnsi="Times New Roman"/>
          <w:lang w:eastAsia="ko-KR"/>
        </w:rPr>
        <w:t>서론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 (</w:t>
      </w:r>
      <w:r>
        <w:rPr>
          <w:sz w:val="20"/>
          <w:szCs w:val="20"/>
          <w:shd w:val="clear"/>
          <w:rFonts w:ascii="Times New Roman" w:hAnsi="Times New Roman"/>
          <w:lang w:eastAsia="ko-KR"/>
        </w:rPr>
        <w:t xml:space="preserve"> Introduction 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현대 사회는 플라스틱 없이는 일상생활을 영위하기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어려울 만큼 플라스틱에 의존하고 있다. 그러나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플라스틱은 생산부터 폐기까지 전 과정에서 환경에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심각한 영향을 미치며, 특히 처리 및 재활용 과정의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비효율성은 자원 낭비와 탄소 배출의 주요 원인 중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하나로 지적된다. 이에 따라 플라스틱의 전 생애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주기(Life Cycle)를 고려한 벨류체인(Value Chain)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분석은 지속 가능한 플라스틱 순환 시스템을 구축하는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데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핵심적인 접근법으로 부각되고 있다. 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보고서에서는 플라스틱 벨류체인을 직접 구성해보고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각 단계별 문제점과 개선 방안을 모색하고자 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현재 플라스틱 순환과 관련된 연구는 주로 폐기물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관리나 재활용 기술에 집중되어 있으며, 생산과 소비,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수거 및 처리 단계 간의 유기적 연결성에 대한 통합적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분석은 상대적으로 부족하다. 특히, 수거 및 분리 배출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단계에서의 정확도 부족은 전체 재활용률을 크게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저하시킬 뿐만 아니라, 이후 처리 단계의 비용 증가와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탄소 배출량 증가로 이어진다. 이러한 문제를 해결하기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위해서는 플라스틱 벨류체인 전반에 걸친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기술적·정책적 대응이 필요하다.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본 연구의 필요성은 크게 세 가지로 요약될 수 있다.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첫째, 생산 단계에서부터 탄소 배출을 저감할 수 있는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기술 도입 방안을 살펴보고, 실제 적용 가능성을 검토할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필요가 있다. 둘째, 소비 단계에서는 단순한 사용 방식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변화만으로도 순환 효율에 영향을 줄 수 있기에 소비자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인식 개선의 가능성을 모색한다. 셋째, 폐기 및 수거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단계에서는 분리 정확도를 높이기 위한 시스템적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접근이 필요하며, 본 보고서에서는 실험적으로 학교에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도입할 수 있는 분리 수거 시스템을 제안한다.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마지막으로, 처리 및 재활용 단계에서는 현재 주목받는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열분해(Pyrolysis)와 광분해(Photodegradation) 기술을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비교하여 장단점과 적용 가능성을 평가한다.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 보고서는 플라스틱의 순환을 ‘생산–소비–수거 및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폐기–처리 및 재활용’이라는 네 가지 단계로 나누어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분석하고, 각 단계에서 발생하는 문제점과 이에 대응할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수 있는 기술적·정책적 해결책을 제시한다. 특히,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 순환을 학교 환경에서 실험적으로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구현해보는 구체적 시도는 작은 규모에서 시작할 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있는 지속가능한 순환 시스템의 모델을 제공할 수 있을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것이다.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궁극적으로 본 보고서는 플라스틱 순환 시스템의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설계에 있어 각 단계가 독립적인 요소가 아닌, 상호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유기적으로 연결된 가치사슬이라는 점을 강조하고자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한다. 이러한 통합적 접근은 미래의 자원순환 사회를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실현하는 데 있어 중요한 기반이 될 것이다.</w:t>
      </w:r>
    </w:p>
    <w:p>
      <w:pPr>
        <w:pStyle w:val="PO185"/>
        <w:rPr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재료 및 방법 (</w:t>
      </w:r>
      <w:r>
        <w:rPr>
          <w:sz w:val="20"/>
          <w:szCs w:val="20"/>
          <w:shd w:val="clear"/>
          <w:rFonts w:ascii="Times New Roman" w:hAnsi="Times New Roman"/>
          <w:lang w:eastAsia="ko-KR"/>
        </w:rPr>
        <w:t xml:space="preserve"> Materials and Methods 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본 연구는 플라스틱의 전 생애주기를 생산, 소비, 수거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및 폐기, 처리 및 재활용의 네 단계로 나누고, 각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단계에서의 문제점과 개선 방안을 분석한 뒤, 이를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토대로 직접 플라스틱 순환 벨류체인을 구상하는 것을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목적으로 수행되었다.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첫째, 문헌 조사와 환경 관련 공공자료(환경부,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한국환경공단 등)를 바탕으로 각 단계에서 발생하는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환경적 문제와 기술적 대응 방안을 조사하였다. 특히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생산 단계에서는 탄소 배출 저감 기술을 중심으로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생분해성 플라스틱 및 바이오 기반 소재 기술을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검토하였다.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둘째, 소비 단계에서는 플라스틱 사용 방식과 소비자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인식에 대한 일반적인 동향을 정리하여, 소비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단계에서의 간접적 개선 가능성을 탐색하였다.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셋째, 수거 및 폐기 단계에서는 학교 내 분리수거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시스템의 현실적 문제를 관찰하고, 분리 정확도 향상을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위한 실험적 개선방안으로 스마트 분리 시스템 또는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보완형 수거 구조를 제안하였다.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넷째, 처리 및 재활용 단계에서는 열분해와 광분해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기술에 대한 자료를 수집하고, 두 기술의 기본 원리 및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장단점을 비교 분석하였다. 이 과정은 기술적 효율성과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실제 적용 가능성을 파악하는 데 중점을 두었다.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마지막으로, 위의 분석을 종합하여 각 단계가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유기적으로 연결된 플라스틱 순환 벨류체인을 직접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구성하였다. 이 구상은 플라스틱 순환 구조의 실질적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개선 방향을 시각적으로 제시하는 것을 목표로 하였다.</w:t>
      </w:r>
    </w:p>
    <w:p>
      <w:pPr>
        <w:pStyle w:val="PO185"/>
        <w:rPr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sz w:val="20"/>
          <w:szCs w:val="20"/>
          <w:shd w:val="clear"/>
          <w:rFonts w:ascii="Times New Roman" w:hAnsi="Times New Roman"/>
          <w:lang w:eastAsia="ko-KR"/>
        </w:rPr>
        <w:t xml:space="preserve">본문 (Main Body)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1.생산 단계</w:t>
      </w:r>
    </w:p>
    <w:p>
      <w:pPr>
        <w:pStyle w:val="PO185"/>
        <w:spacing w:before="240" w:after="240"/>
        <w:rPr>
          <w:sz w:val="20"/>
          <w:szCs w:val="20"/>
          <w:shd w:val="clear"/>
          <w:rFonts w:ascii="함초롬바탕" w:eastAsia="함초롬바탕" w:hAnsi="함초롬바탕" w:cs="함초롬바탕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1.1 기존 생산 방식 문제점 (석유 기반, 탄소 배출 등)</w:t>
      </w:r>
    </w:p>
    <w:p>
      <w:pPr>
        <w:pStyle w:val="PO185"/>
        <w:spacing w:before="240" w:after="240"/>
        <w:rPr>
          <w:b w:val="0"/>
          <w:sz w:val="20"/>
          <w:szCs w:val="20"/>
          <w:shd w:val="clear"/>
          <w:rFonts w:eastAsia="Myriad Pro Light" w:cs="Myriad Pro Light"/>
          <w:lang w:eastAsia="ko-KR"/>
        </w:rPr>
      </w:pP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석유 기반 플라스틱은 현재 많은 산업에서 필수적인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재료로 사용되고 있다. 그러나 석유 기반 플라스틱은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자연적으로 분해되는 데에 매우 오랜 기간이 걸리기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때문에 많은 환경적 문제를 야기한다.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Polyhydroxyalkanoate (PHA)는 석유기반 플라스틱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대체를 위한 가장 유망한 재료이며, 다양한 재생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가능한 생물원으로부터 생산 가능하다. 현재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일반적으로 사용하고 있는 플라스틱은 석유를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기반으로 생산된 플라스틱으로 2019년에 전 세계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플라스틱 누적 생산량은 95억톤에 도달하였다.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플라스틱은 경량성, 내구성, 다용도성 등의 장점으로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인해 거의 모든 산업 분야에서 널리 사용되고 있다.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그러나 현재 이러한 석유 기반 플라스틱 폐기물의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처리가 많은 환경오염을 야기하고 있다. 1950년부터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2015년까지의 플라스틱 중 30%는 현재까지 사용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중이고, 55%는 매립, 8%는 소각, 6%는 재활용되고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나머지 플라스틱은 해양으로 유출된다. 해양으로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유출되는 플라스틱의 추정치는 연간 900만~2300만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Mt이며 그 중 매크로 플라스틱은 800만Mt, 1차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미세플라스틱은 1.5 Mt으로 추정된다. 거의 700종의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해양종과 50종 이상의 담수종이 매크로플라스틱을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섭취했거나 신체 부위 등에 폐플라스틱이 얽힌 것으로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알려져 있고, 플라스틱이해양종뿐만 아니라 다양한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육지의 유기체에게도 섭취된다는 증거가 증가하고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있다.플라스틱의 자연환경에서의 분해는 오랜 시간이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>소요되고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, 그에 의해 해양 및 육지 생태계에 악영향을</w:t>
      </w:r>
      <w:r>
        <w:rPr>
          <w:sz w:val="20"/>
          <w:szCs w:val="20"/>
          <w:shd w:val="clear"/>
          <w:rFonts w:eastAsia="Myriad Pro Light" w:cs="Myriad Pro Light"/>
          <w:lang w:eastAsia="ko-KR"/>
        </w:rPr>
        <w:t xml:space="preserve">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끼치고 있다. 이와 같은 석유 기반 플라스틱 폐기물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처리의 문제점들을 해결하기 위한 플라스틱 대체제의 </w:t>
      </w:r>
      <w:r>
        <w:rPr>
          <w:b w:val="0"/>
          <w:sz w:val="20"/>
          <w:szCs w:val="20"/>
          <w:shd w:val="clear"/>
          <w:rFonts w:eastAsia="Myriad Pro Light" w:cs="Myriad Pro Light"/>
          <w:lang w:eastAsia="ko-KR"/>
        </w:rPr>
        <w:t xml:space="preserve">연구가 활발히 진행되고 있는 추세이다.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1.2 대체 기술 (바이오 플라스틱, 재생 플라스틱)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현재 석유 기반 플라스틱의 대체 용품으로 바이오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플라스틱이 많은 관심을 받고 있다. 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바이오 플라스틱은 전분과 식물성 기름과 같은 천연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자원에서 생성될 수 있는 플라스틱의 한 유형이다.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바이오 플라스틱은 크게 바이오 기반 및 생분해성,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두가지 특성으로 분류된다. 다양한 바이오 플라스틱 중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PHA는 100% 바이오 기반임과 동시에 생분해성인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 제품군이다. PHA는 생존 매커니즘의 일부로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미생물의 내부 탄소 및 에너지 저장 장치로서 과량의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탄소가 있는 상태에서 영양소(N, P, S, O 등)가 제한될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때 다양한 미생물에 의해 생성된다.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PHA의 특성은 사용하는 박테리아의 종류, 발효 조건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및 기질에 따라 다양하게 변경될 수 있다. 바이오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플리스틱 종류 간의 자연환경에서의 분해도는 현저히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다르다. 현재 대체 플라스틱으로 많이 상용화된 PLA와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비교했을 때 PHA는 PLA와 달리 퇴비화가 가능하고,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해양 환경에서도 생분해가 가능하다. PLA와 PHA의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토양에서의 생분해를 연구한 결과에 따르면, PHA는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2개월 후 토양에서 모두 분해되었지만 PLA는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4개월이 지나도 눈에 띄는 분해가 일어나지 않았다.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또한 PLA는 해양환경에서 거의 분해되지 않는다.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따라서 플라스틱 폐기물의 처리에 있어 PHA는 환경에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악영향을 끼치지 않고, 분해가 빠르다는 장점을 가지고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이처럼 석유 기반 플라스틱을 PHA로 대체하면 화석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에너지의 사용을 줄이고 플라스틱 폐기 처리 과정에서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생성되는 온실가스의 배출량 또한 줄일 수 있다.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재생 플라스틱 또한 석유 기반 플라스틱의 대체 용품로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주목받고 있으며, 환경 부담을 줄이고 자원을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효율적으로 활용할 수 있는 지속 가능한 소재이다. 이는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기존에 사용된 플라스틱 제품을 수거하고 세척, 분쇄,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재가공하여 다시 사용하는 방식으로 생산되며, 자원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순환과 탄소 배출 저감에 기여한다. 재생 플라스틱의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가장 큰 장점은 석유와 같은 신규 자원 소비를 줄일 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있다는 점이다.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1.3 기술 적용 시 한계와 극복 방안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PHA의 장점에도 불구하고 아직까지 PLA에 비하여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상용화가 되지 않은 이유는 PHA의 생산 비용이 높기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때문이다. 그러므로 현재 PHA의 생산가를 낮추기 위한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연구가 활발히 이루어지고 있는 추세이다.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1.3.1 PLA를 이용한 생분해 포장재 생산 모델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단계1: 원료 확보 및 전처리 과정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 과정에서는 옥수수나 사탕수수 등의 식물에서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추출한 전분을 이용해 포도당을 얻고, 이를 유산균이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발효 가능한 기질로 전환한다.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단계2: 젖산 발효 과정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유산균을 이용해 포도당을 젖산으로 발효시킨다. 이때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발효 조건(온도, pH, 기질 농도 등)을 최적화하여 젖산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수율을 높이는 것이 중요하다.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단계3: 폴리머화(중합) 단계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발효를 통해 얻은 젖산을 축합 반응을 통해 고분자인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PLA로 중합한다. 이때 고온 조건과 촉매를 이용해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반응 효율을 높이며, 최종적으로 PLA 수지 형태의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펠릿을 얻는다.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단계4: 포장재 성형 및 가공 단계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생산된 PLA 수지를 압출, 사출성형, 필름 블로잉,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진공성형 등의 공정을 거쳐 식품 포장재로 가공한다.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PLA는 기존 석유계 플라스틱 성형 설비와의 호환성이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높기 때문에 설비 교체 없이도 손쉽게 가공 가능하다는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장점이 있다. 필요에 따라 전분이나 PBAT와 혼합하여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유연성이나 내열성을 보완할 수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단계5: 제픔 적용 및 생분해 단계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완성된 PLA 포장재는 식품용기, 과일 포장재, 도시락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용기 등 다양한 분야에 활용되며, 사용 후에는 산업용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퇴비화 조건(온도, 습도, 미생물 존재하에 180일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이내)에서 완전히 분해된다.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1.4 바이오 플라스틱(PLA, PHA 등) 생산 방식 조사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1.4.1 PLA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PLA는 옥수수, 사탕수수, 밀, 타피오카 등 식물성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자원에서 추출한 전분을 주원료로 하여 생산된다. 먼저,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전분은 효소 처리 과정을 거쳐 포도당으로 분해되며, 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포도당은 젖산균에 의해 발효되어 젖산으로 전환된다.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이렇게 얻어진 젖산은 정제 과정을 거친 후 두 가지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방식 중 하나로 중합된다. 첫 번째는 젖산을 직접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축합하여 PLA를 만드는 직접 중합 방식이며, 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번째는 젖산을 락타이드라는 고리형 화합물로 전환한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후 이를 개환 중합하여 고분자 PLA를 생성하는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방식이다. 산업적으로는 고분자량을 얻기 쉬운 두 번째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방식이 주로 사용된다.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1.4.2 PHA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PHA는 특정 미생물이 에너지를 저장하기 위해 세포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내에 축적하는 고분자 물질로, 생물학적 발효 과정을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통해 생산된다. 우선, 미생물이 성장할 수 있는 배양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조건을 갖춘 발효조에 식물성 유지, 당류, 또는 유기성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폐기물과 같은 탄소원을 공급한다. 탄소는 풍부하게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공급하되, 질소나 인과 같은 필수 영양소는 제한하여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미생물이 스트레스를 받도록 유도한다.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이러한 조건에서 미생물은 생존 전략의 일환으로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PHA를 세포 내에 과립 형태로 축적한다. 일반적으로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많이 사용되는 미생물에는 Cupriavidus necator,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Ralstonia eutropha, Bacillus spp. 등이 있으며, 이들은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다양한 탄소원에서 효율적으로 PHA를 생산할 수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배양이 완료되면, 세포를 수확하여 기계적 파쇄, 효소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처리 또는 화학적 방법을 통해 세포벽을 분해하고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내부에 저장된 PHA를 추출한다.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1.5 재생 플라스틱(rPET 등) 품질 한계와 해결 방안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재생 플라스틱은 사용된 플라스틱을 수거하고 세척,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분쇄, 재가공하여 다시 활용하는 방식으로 생산된다.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대표적으로 rPET(recycled PET)가 많이 사용되며,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음료병, 섬유, 포장재 등으로 활용된다. 하지만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rPET에는 다음과 같은 품질상의 한계가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① 기계적 성질 저하: 반복적인 열처리 과정으로 인해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고분자 사슬이 짧아지고, 인장 강도 및 내열성이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저하된다.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② 불순물 혼입: 수거 및 세척 과정에서 비PET 소재나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색상, 오염물질이 섞여 품질 균일성이 떨어진다.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③ 식품 포장에의 제한: 안전성과 투명성 문제로 인해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식품용으로 사용되기 어려운 경우가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▶해결 방안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① 고급 정제 기술 도입: 화학적 재활용 방식으로 분자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단위로 분해한 뒤 고순도 모노머로 재합성하면 품질을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새 제품과 동등하게 유지할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② 멀티레이어 필름 구조: 외부 층에 rPET를 사용하고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내부에는 신재를 사용하여 품질과 위생을 동시에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확보하는 방식이 개발되고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1.6 생산 단계에서 탄소 배출량을 줄일 수 있는 기술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도입 방안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① 공정 내 CCU 기술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 제조 공정에서는 석유 기반 원료의 정제,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모노머 생산(ex. 에틸렌, 프로필렌), 중합 반응, 열처리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등의 단계에서 많은 양의 에너지가 소비되고, 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과정에서 이산화탄소가 상당량 배출된다. 특히, 고온의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열분해 과정이나 증기 크래킹 공정은 탄소 배출의 주요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원인이다. 이 기술을 통해 포집된 이산화탄소는 합성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연료, 탄산염 화합물, 플라스틱 원료 등으로 전환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가능하여 탄소 자원화가 가능하다. 또한 기존 설비에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추가 장치 설치만으로 구현이 가능하며, 전체 생산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설비를 교체할 필요가 없다. CCU 기술은 바이오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플라스틱이나 재활용 플라스틱과 결합할 때 전체 수명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주기에서의 탄소 발자국을 최소화할 수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② 에너지 효율 공정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 제조 과정에서는 높은 온도와 압력을 필요로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하는 반응 단계가 많기 때문에 에너지 소비가 크다.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이에 따라 제조 공정 전반에서 에너지 사용을 줄이기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위한 기술적 개선이 이루어지고 있으며, 대표적인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방법으로는 저온 중합 기술, 촉매 최적화, 연속식 공정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도입이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⑴ 저온 중합 기술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저온 중합은 기존보다 낮은 온도에서 고분자 중합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반응을 유도하는 기술로, 열에너지 소비를 획기적으로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줄일 수 있는 방법이다. 특히 PLA나 PHA와 같은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생분해성 고분자는 중합 온도가 150~200℃에 달하는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경우가 많으나, 저온 활성 촉매나 전처리 기술을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활용하면 100℃ 이하에서도 중합이 가능해진다. 이는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에너지 비용 절감뿐 아니라 열에 민감한 첨가제나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기능성 성분의 안정성 유지에도 유리하다.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⑵ 촉매 최적화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촉매는 중합 반응의 반응 속도와 효율을 결정짓는 핵심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요소이며, 고활성·저에너지형 촉매의 개발은 전체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공정의 에너지 효율을 높이는 데 기여한다. 최근에는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금속 기반 촉매나 생체모사 촉매가 개발되어 중합 반응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온도와 시간을 단축하고, 불필요한 부반응을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억제함으로써 에너지 낭비를 최소화한다. 또한 촉매의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재사용성과 반응 선택성을 향상시키는 기술이 함께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발전하고 있어, 공정 지속 가능성을 높이는 데에도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중요한 역할을 한다.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⑶ 연속식 공정 도입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기존의 플라스틱 제조는 배치 방식이 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사용되었으나, 최근에는 연속식 공정이 도입되면서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에너지 효율성이 크게 개선되고 있다. 연속식 공정은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반응이 끊기지 않고 지속적으로 이루어지기 때문에,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가열과 냉각 과정에서의 에너지 손실이 적고, 공정 중단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없이 대량 생산이 가능하다. 또한 자동화와 공정 제어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시스템을 결합할 수 있어 에너지 소비를 실시간으로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최적화할 수 있다는 장점이 있다.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1.7 친환경 첨가제, 가소제 비교 분석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1.7.1 친환경 첨가제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친환경 첨가제는 생분해성 고분자나 식물성 원료를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기반으로 하며, 제품의 기능을 강화하면서도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생분해성을 저해하지 않는 특성이 있다. 예를 들어,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전분 유도체, 셀룰로오스 미세입자, 천연 안료, 식물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유래 안정제 등이 PLA, PHA와 같은 바이오플라스틱에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적용된다. 이들 첨가제는 내열성, 내충격성, 산화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안정성 등을 개선하며, 플라스틱의 최종 생분해성에도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큰 영향을 미치지 않는다.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1.7.2 친환경 가소제</w:t>
      </w:r>
    </w:p>
    <w:p>
      <w:pPr>
        <w:pStyle w:val="PO185"/>
        <w:rPr>
          <w:shd w:val="clear"/>
          <w:rFonts w:hint="eastAsia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가소제는 고분자의 유연성과 가공성을 높이는 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필수적인 물질이다. 기존에는 프탈레이트계(DEHP,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DBP 등)가 주로 사용되었지만, 환경 호르몬 논란과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독성 문제로 대체가 시급해졌다. 이에 따라 식물성 오일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유래 가소제, 폴리에스터 기반 가소제, 이소소르비드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기반 가소제 등이 개발되었으며, 이는 인체에 무해하고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휘발성도 낮아 장기 사용에 적합하다.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2. 소비 단계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소비 단계는 플라스틱 제품의 실질적인 사용 및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분리배출이 이루어지는 구간으로, 자원 순환의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효율성을 결정짓는 중요한 부분이다. 소비자의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분리배출 의식 부족과 1회용품 소비 확대는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재활용률을 저해하며, 이는 전체 폐기물 처리의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부담으로 이어진다. 이에 따라 친환경 소비를 유도하기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위한 다양한 제도와 기술적 보완이 요구되고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2.1 분해 용이한 디자인 (Design for Recycling)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음료 패키지 용기의 구조는 생산, 소비, 폐기 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과정에서 환경적 영향을 고려해야 하며, 그중에서도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재사용과 재활용이 가능한 디자인은 친환경 실천에서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핵심적인 역할을 한다. 이를 위해 기본적으로 재활용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가능한 소재를 사용하고, 폐기 시 부피를 최소화할 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있으며, 소비자가 분리배출을 용이하게 할 수 있도록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설계되어야 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2.2 국내 기업 사례 분석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(1) 롯데칠성음료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롯데칠성음료는 </w:t>
      </w:r>
      <w:r>
        <w:rPr>
          <w:i w:val="1"/>
          <w:b w:val="0"/>
          <w:sz w:val="20"/>
          <w:szCs w:val="20"/>
          <w:shd w:val="clear"/>
          <w:rFonts w:ascii="Times New Roman" w:hAnsi="Times New Roman"/>
          <w:lang w:eastAsia="ko-KR"/>
        </w:rPr>
        <w:t>아이시스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제품을 통해 플라스틱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사용량 감축을 실현하고 있다. 제품 라벨을 제거하고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무색 페트병에 음각으로 제품명을 표기하는 방식으로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재활용 용이성을 향상시켰다. 소비자는 이러한 친환경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패키지를 구매하는 행위 자체를 환경보호 참여로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인식하고 있으며, 이는 기업의 친환경 마케팅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전략으로도 활용되고 있다. 또한, 환경부 및 생수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제조업체들과 협약을 체결하여 라벨 없는 페트병 사용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확대를 추진하였다.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(2) 매일유업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매일유업은 빨대 없는 멸균우유 제품을 출시하여,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패키지 용기 디자인 변경을 통해 플라스틱 사용량을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절감했다. 절취선을 활용해 빨대 없이도 음용이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가능하도록 설계했으며, 단일 소재를 적용하여 재활용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용이성도 강화하였다. 더불어 </w:t>
      </w:r>
      <w:r>
        <w:rPr>
          <w:i w:val="1"/>
          <w:b w:val="0"/>
          <w:sz w:val="20"/>
          <w:szCs w:val="20"/>
          <w:shd w:val="clear"/>
          <w:rFonts w:ascii="Times New Roman" w:hAnsi="Times New Roman"/>
          <w:lang w:eastAsia="ko-KR"/>
        </w:rPr>
        <w:t>슬로우밀크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제품은 기존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 용기 대신 종이팩으로 변경되어 연간 약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147톤의 플라스틱 저감 효과를 달성하였다.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(3) 동아오츠카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동아오츠카는 </w:t>
      </w:r>
      <w:r>
        <w:rPr>
          <w:i w:val="1"/>
          <w:b w:val="0"/>
          <w:sz w:val="20"/>
          <w:szCs w:val="20"/>
          <w:shd w:val="clear"/>
          <w:rFonts w:ascii="Times New Roman" w:hAnsi="Times New Roman"/>
          <w:lang w:eastAsia="ko-KR"/>
        </w:rPr>
        <w:t>포카리스웨트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제품을 중심으로 지속적인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친환경 패키지 개선을 추진해 왔다. 2010년부터 패키지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경량화 및 에너지 저감화를 통해 탄소성적표지 인증을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획득하였으며, 페트병 생산과 충진 공정을 통합한 </w:t>
      </w:r>
      <w:r>
        <w:rPr>
          <w:i w:val="1"/>
          <w:b w:val="0"/>
          <w:sz w:val="20"/>
          <w:szCs w:val="20"/>
          <w:shd w:val="clear"/>
          <w:rFonts w:ascii="Times New Roman" w:hAnsi="Times New Roman"/>
          <w:lang w:eastAsia="ko-KR"/>
        </w:rPr>
        <w:t>O-</w:t>
      </w:r>
      <w:r>
        <w:rPr>
          <w:i w:val="1"/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Hot Pack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 시스템을 도입하여 이산화탄소 배출을 21%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절감했다. 또한 라벨 분리선을 도입하고, 이를 기반으로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한 </w:t>
      </w:r>
      <w:r>
        <w:rPr>
          <w:i w:val="1"/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블루 라벨 캠페인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과 </w:t>
      </w:r>
      <w:r>
        <w:rPr>
          <w:i w:val="1"/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BLUE UP 프로젝트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를 통해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소비자의 자발적 재활용 참여를 유도하고 자원순환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체험 기회를 제공하였다.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2.3 사례 분석을 통한 시사점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첫째, 재활용 용이성을 높이기 위한 단일 소재 사용과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부피 경감, 라벨 제거 및 분리 안내선 도입 등이 패키지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디자인의 핵심요소임을 확인하였다.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둘째, 소비자가 친환경 제품을 선택하도록 유도하기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위해서는 친환경 패키지에 대한 인식제고와 더불어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리워드 시스템과 같은 소비자 참여형 캠패인이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효과적임을 알 수 있었다.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셋째, 정부 및 기업 간 협력체계 구축이 친환경 패키지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보급 확대에 긍정적인 영향을 미치며, 정책적 지원과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산업계의 자발적 노력이 상호 보완적으로 작용해야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함을 확인했다.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3. 폐기 및 수거 단계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3.1 문제점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현재 전 세계적으로 플라스틱 생산량과 폐기물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발생량은 꾸준히 증가하고 있으나, 이에 비해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재활용률은 현저히 낮은 수준에 머무르고 있다.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환경적으로 건전하지 않은 폐기물 처리 과정은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환경오염뿐만 아니라 경제적 문제 또한 야기하고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특히 수거 과정에서는 복잡한 분리 기준과 정확하지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않은 분리 배출로 인해 2차 환경오염이 발생하며,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재활용률 역시 저하되고 있다. 이로 인해 폐기물 선별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작업이 제대로 이루어지지 않으며, 혼합 폐기물들이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장기간 방치되는 사례도 발생한다. 더불어 폐기물 처리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인프라가 부족하여 매립 및 소각에 의존하는 비율이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높고, 이로 인한 비용도 지속적으로 증가하는 추세이다.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매립 시 분해까지 수십 년이 소요되는 점도 심각한 문제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중 하나이다.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또한 PVC 계열 제품은 재활용이 어려울 뿐만 아니라,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소각 과정에서 유해 물질이 발생하므로 수거 및 폐기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과정에서 심각한 환경적 문제를 유발한다.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3.2 보완 기술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(1) RFID 분류 기술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RFID 태그를 폐기물에 부착하여 불필요한 물질을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사전에 제거하고, 재사용을 위한 정보 저장 기능을 통해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효율적인 분류 및 수거를 가능하게 한다. 이 기술은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폐기물 정보를 보다 쉽게 획득할 수 있게 하여 재분류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및 재선별 과정을 효율적으로 수행할 수 있도록 돕는다.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또한, 재활용 불가능한 물질의 삽입을 사전에 방지하며,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폐기물 수거에 대한 처리, 추적 및 관리 정보를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생성함으로써 전체적인 수거 관리 체계의 정밀도를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높일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(2) AI 분류 기술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RFID 기술과 AI를 결합함으로써 수집된 정보를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실시간으로 관리할 수 있다. AI 기반 쓰레기 자동 분류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시스템은 폐기물의 종류를 정확히 인식하며, 스마트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수거함과 같은 장비를 통해 투입된 쓰레기의 종류를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자동으로 분류한다. 이를 통해 수거 과정의 정확도가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향상되고, 분리수거 오류가 현저히 줄어드는 효과를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기대할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3.3 실제 적용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(1) RFID 기반 분리배출 시스템의 도입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RFID기술은 폐기물에 대한 정보 저장 및 추적 기능을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제공함으로써, 수거 과정의 정밀도와 신뢰도를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향상시킬 수 있다. 우리 학교와 같은 교육기관에 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기술을 도입할 경우, 특정 구역(예: 교실, 복도, 매점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인근 등)에 RFID 리더기가 탑재된 분리배출 전용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수거함을 설치하고, 배출 대상이 되는 폐기물(예: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플라스틱 음료 용기, 종이컵 등)에 간단한 태그나 코드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부착을 유도하는 방식이 고려될 수 있다. 이를 통해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수거되는 폐기물의 종류, 빈도, 분류 정확도 등을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실시간으로 기록 및 분석할 수 있으며, 향후 폐기물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처리 및 교육적 피드백의 기초자료로도 활용 가능하다.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(2) AI 기반 자동 분류 수거함 설치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AI 비전 기술을 활용한 자동 분류 수거 시스템은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분리배출 오류를 최소화하는 데 효과적이다. 교내에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설치된 스마트 수거함은 폐기물이 투입될 때 카메라 및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센서를 통해 물품의 형태와 재질을 자동 인식하고,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내장된 알고리즘을 통해 이를 적절한 분류함으로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유도하거나, 사용자가 분리배출 오류를 인지하고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수정할 수 있도록 시각적 피드백을 제공한다. 이러한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시스템은 학생 개개인의 분리배출 습관 개선과 교내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전체의 분리 정확도 향상에 실질적인 기여를 할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(3) 수거 데이터 기반의 환경교육 및 인센티브 제도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RFID 및 AI 기술을 통해 축적된 분리배출 데이터를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기반으로, 학급별 또는 학년별 폐기물 배출 현황과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재활용률을 정기적으로 공개함으로써, 학생들의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자발적인 참여를 유도할 수 있다. 예컨대, 일정 기간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동안 가장 높은 분리배출 정확도를 기록한 학급에게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환경 포인트를 부여하거나, 친환경 캠페인 참여 실적을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기록하여 생활기록부에 반영하는 등의 보상 체계를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마련할 수 있다. 또한, 수거 데이터를 활용한 시각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자료(차트, 인포그래픽 등)를 통해 학생 주도 환경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보고서 작성, 교내 발표회 등 교육 프로그램과 연계하면,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단순한 시스템 도입을 넘어 교육적 효과를 극대화할 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있을 것이다.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4. 처리 및 재활용 단계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4.1 열분해 기술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(1). 원리와 작동 매커니즘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열분해(Pyrolysis)는 무산소 또는 극소산소 조건하에서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폐플라스틱을 **300~800℃**의 고온에서 가열하여,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고분자 사슬을 절단하여 액상유(열분해유), 가연성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가스, 고형탄소물질(Char) 등으로 분해하는 기술이다.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폐플라스틱의 주 사슬인 C–C 결합과 C–H 결합이 열에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의해 균열되며, 이로 인해 다양한 탄화수소류가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생성된다. 특히 PE, PP는 고분자 사슬이 단순하고 산소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함량이 낮아 열분해 효율이 높다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기본적인 반응 과정은 다음과 같다: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1. 흡열 반응: 고분자에서 결합이 끊어지고 라디칼이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>형성됨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2. 라디칼 재배열 및 탈수소화: 다양한 중간체가 생성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3. 종결 반응: 저분자 탄화수소 생성 → 열분해유 및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>가스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특히 PE는 340~500℃ 범위에서 거의 완전히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열분해되어 0.5% 이하의 찌꺼기만 남기며, PET는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에스터 결합이 주로 분해되며 약 50%의 Char가 남는다.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(2). 환경적 효과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열분해는 다음과 같은 특징과 장점을 갖는다: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혼합 폐기물 처리 가능: 플라스틱이 섞여 있거나 오염된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상태에서도 처리 가능하다.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원료화 가능성: 생성된 열분해유는 나프타, 디젤,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벙커C유 대체 연료로 활용 가능하다.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온실가스 감축: 매립 및 소각 대비 온실가스 배출량을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50% 이상 감축할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순환경제 실현: 기존 화학공정의 원료로 활용되며,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원유를 대체할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또한, 열분해는 플라스틱을 거꾸로 조립 해체하여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모노머 또는 연료로 환원시키는 유일한 화학적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경로이며, 이는 일종의 인공적 석유 재생 시스템으로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평가받는다. 이로 인해 '진정한 폐플라스틱 순환'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기술로 주목받고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(3). 열분해에서의 분자 결합을 끊을 때의 필요한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>에너지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열분해에서 고분자 결합을 끊기 위해서는 상당한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에너지가 필요하다. 주요 결합에 대한 결합해리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에너지(Bond Dissociation Energy)는 다음과 같다: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결합 유형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평균 결합 에너지 (kJ/mol)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관련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플라스틱 예시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C–C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313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PE, PP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C–H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410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PE, PS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C–O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358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ab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PET, PLA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예를 들어, PE는 주로 C–C 결합으로 구성되어 있으며,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1kg의 PE를 완전히 열분해하려면 약 7개의 C–C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결합을 절단해야 하며, 이는 약 2191 kJ 이상의 흡열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에너지를 요구한다.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이때 전체 반응은 다음과 같은 헤스의 법칙 경로로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설명할 수 있다: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ΔH₁: 플라스틱 → 라디칼/분해 단량체 (흡열)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ΔH₂: 라디칼 → 연료유, 가스, Char (발열)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ΔH_total = ΔH₁ + ΔH₂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실험에 따르면 PE의 열분해 반응은 평균적으로 약 187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kJ/mol의 활성화 에너지를 필요로 하며, 이는 열분해의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효율과 수율을 결정짓는 핵심 요인이다.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(4). 경제적 가치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열분해는 단순한 처리 기술이 아니라 다음과 같은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경제적 가치를 창출하는 산업으로 진화하고 있다: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4-1. 고부가가치 열분해유 생산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PE 기준 1톤 처리 시 500~700kg의 열분해유 생산 가능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열분해유는 정제 시 나프타로 전환되어 석유화학 공정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원료로 활용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열분해유 가격: 톤당 약 300~450 USD 수준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4-2. 에너지 자립 및 운영비 절감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 시 생성되는 가스(약 15~20%)는 자체 공정에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재사용되어 에너지 자립률 70% 이상 확보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기존 소각 대비 운영비 20~40% 절감 효과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4-3. 탄소배출권 활용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소각 대비 CO₂ 약 0.9톤/톤 폐플라스틱 저감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EU 탄소거래시장 기준 톤당 50~80 유로 수익 창출 가능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4-4. 산업 활용 확대 및 기술 투자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SK지오센트릭, LG화학 등 대기업이 열분해 공장 설립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중 (SK: 66,000톤 규모 / LG: 초임계 열분해 방식 도입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>중)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세계 최대 플라스틱 재활용 스타트업인 Plastic Energy,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Mura Technology 등과 기술 제휴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5. 종합 평가 및 기술적 전망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플라스틱 열분해는 단순한 처리 기술이 아닌, 고도화된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화학적 자원화 기술로서 폐기물 문제 해결과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탄소중립을 동시에 달성할 수 있는 핵심 솔루션이다.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에너지 회수, 원료화, 고부가가치 생산 가능성 등에서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뚜렷한 경쟁력을 보이며, 열역학적 접근을 통해 반응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최적화와 수율 개선이 가능하다. 앞으로 순환경제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실현을 위한 실질적인 산업 모델로 자리매김할 것으로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>기대된다.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4.2 광분해(Photodegradation) 기술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(1) 원리와 작동 메커니즘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광분해는 자외선(UV) 또는 가시광선과 같은 고에너지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광원을 이용하여 고분자 물질을 저분자 화합물로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분해하는 기술이다. 고분자 물질이 광에너지를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흡수하면 화학 결합이 파괴되고 라디칼이 형성되며,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이는 연쇄적인 산화반응을 유도하여 고분자 사슬을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끊는다. 이 과정은 플라스틱의 분자량을 점차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감소시키고, 최종적으로 이산화탄소, 물, 알데하이드,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유기산 등의 저분자 물질로 전환된다.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br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최근에는 이산화티타늄(TiO₂)과 같은 광촉매를 활용한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기술이 주목받고 있다. 광촉매는 자외선을 흡수하여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강력한 산화력을 지닌 전자·정공 쌍을 생성하며, 이를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통해 플라스틱 표면의 화학 결합을 선택적으로 분해할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수 있다. 이와 같은 촉매 기반 광분해는 플라스틱에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코팅된 상태로 실외에서 자외선에 노출되거나,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정수처리·하수처리 등 수계 환경에서 적용될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(2)환경적 효과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광분해 기술은 고온 처리를 필요로 하지 않기 때문에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에너지 소비가 낮으며, 열분해에서 흔히 발생하는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다이옥신, 휘발성 유기화합물(VOCs) 등의 2차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오염물질 생성이 상대적으로 적다. 또한, 자연광 또는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저에너지 인공광을 활용할 수 있어 저탄소 기반의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폐기물 처리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 기술로평가된다.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br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일부 연구에서는 자연광에 6개월 이상 노출된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고분자(예: PE, PET)의 분자량이 최대 40% 이상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감소하였으며, 촉매 적용 시 분해 시간이 획기적으로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단축될 수 있음이 확인되었다. 그러나 분해가 불완전할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경우, 중간 생성물 또는 미세플라스틱이 잔존할 수 있어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생태계로의 2차 유입 가능성이 존재한다.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(3) 경제적 가치 및 한계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광분해는 태양광을 활용한 수동적 처리 방식으로 운용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시 유지관리 비용이 낮고, 복잡한 설비 없이도 소규모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지역이나 개방된 환경에서의 적용이 가능하다는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장점이 있다. 이는 해안 폐기물이나 농촌 지역 분산형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처리에 적합하다. 반면, 초기 설치비용(광촉매 소재,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반응기 구조 등)과 처리 효율의 한계로 인해 대규모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상업화에는 기술적·경제적 과제가 존재한다. 또한,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실시간으로 부산물을 회수하거나 에너지화하는 체계가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부재하기 때문에 열분해처럼 직접적인 자원 회수는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>어렵다.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(4) 종합 평가 및 기술적 전망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광분해는 자외선이나 자연광을 활용할 수 있다는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점에서 환경적 지속가능성이 매우 높으며,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미세플라스틱 감소, 저에너지 소모, 친환경적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공정이라는 측면에서 우수한 대안 기술로 간주된다.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특히 해양 유입 전 단계의 플라스틱 처리, 농어촌 지역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소규모 쓰레기 저감, 학교나 공공기관의 교육용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시범사업 등에서 현실적 응용 가능성이 크다.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br/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향후 기술 발전은 고활성·고내구성 광촉매 개발,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부산물의 무해화 및 회수 시스템, 광반응기의 모듈화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등으로 이어질 필요가 있다. 특히 열분해와의 병행 적용,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즉 ‘전처리용 광분해 – 후처리용 열분해’의 연계 방안은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처리 효율과 환경성을 동시에 확보하는 통합적 폐기물 </w:t>
      </w:r>
      <w:r>
        <w:rPr>
          <w:b w:val="0"/>
          <w:sz w:val="20"/>
          <w:szCs w:val="20"/>
          <w:shd w:val="clear"/>
          <w:rFonts w:ascii="Times New Roman" w:hAnsi="Times New Roman"/>
          <w:lang w:eastAsia="ko-KR"/>
        </w:rPr>
        <w:t xml:space="preserve">처리 시스템으로서 주목할 만하다.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결과 ( </w:t>
      </w:r>
      <w:r>
        <w:rPr>
          <w:sz w:val="20"/>
          <w:szCs w:val="20"/>
          <w:shd w:val="clear"/>
          <w:rFonts w:ascii="Times New Roman" w:hAnsi="Times New Roman"/>
          <w:lang w:eastAsia="ko-KR"/>
        </w:rPr>
        <w:t xml:space="preserve">Results )</w:t>
      </w:r>
    </w:p>
    <w:p>
      <w:pPr>
        <w:pStyle w:val="PO155"/>
        <w:ind w:firstLine="0"/>
        <w:rPr>
          <w:sz w:val="20"/>
          <w:szCs w:val="20"/>
          <w:shd w:val="clear"/>
          <w:highlight w:val="yellow"/>
          <w:rFonts w:ascii="Times New Roman" w:hAnsi="Times New Roman"/>
          <w:lang w:eastAsia="ko-KR"/>
        </w:rPr>
      </w:pPr>
      <w:r>
        <w:rPr>
          <w:sz w:val="20"/>
        </w:rPr>
        <w:drawing>
          <wp:inline distT="0" distB="0" distL="0" distR="0">
            <wp:extent cx="3044825" cy="1315085"/>
            <wp:effectExtent l="0" t="0" r="3175" b="0"/>
            <wp:docPr id="2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files/.polaris_temp/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31572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pStyle w:val="PO155"/>
        <w:ind w:firstLine="0"/>
        <w:rPr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 xml:space="preserve">그림 1. 플라스틱 벨류체인 도식화</w:t>
      </w:r>
    </w:p>
    <w:p>
      <w:pPr>
        <w:pStyle w:val="PO185"/>
        <w:rPr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>토의(</w:t>
      </w:r>
      <w:r>
        <w:rPr>
          <w:sz w:val="20"/>
          <w:szCs w:val="20"/>
          <w:shd w:val="clear"/>
          <w:rFonts w:ascii="Times New Roman" w:hAnsi="Times New Roman"/>
          <w:lang w:eastAsia="ko-KR"/>
        </w:rPr>
        <w:t xml:space="preserve">Discussion), </w:t>
      </w:r>
      <w:r>
        <w:rPr>
          <w:sz w:val="20"/>
          <w:szCs w:val="20"/>
          <w:shd w:val="clear"/>
          <w:rFonts w:ascii="Times New Roman" w:hAnsi="Times New Roman" w:hint="eastAsia"/>
          <w:lang w:eastAsia="ko-KR"/>
        </w:rPr>
        <w:t>결론(</w:t>
      </w:r>
      <w:r>
        <w:rPr>
          <w:sz w:val="20"/>
          <w:szCs w:val="20"/>
          <w:shd w:val="clear"/>
          <w:rFonts w:ascii="Times New Roman" w:hAnsi="Times New Roman"/>
          <w:lang w:eastAsia="ko-KR"/>
        </w:rPr>
        <w:t>Conclusion)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본 탐구는 플라스틱의 전 생애주기를 네 단계(생산,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소비, 수거 및 폐기, 처리 및 재활용)로 구분하여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분석하고, 각 단계별 문제점과 해결 방안을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기술적·정책적으로 제안했다는 점에서 의미가 크다.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우선, 생산 단계에서는 석유 기반 플라스틱의 탄소 배출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문제를 인식하고, PLA와 PHA 같은 바이오 플라스틱의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대체 가능성과 한계를 분석했다. 특히 PHA의 해양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분해 가능성은 주목할 만하나, 상용화 비용 문제는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여전히 해결 과제로 남는다.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소비 단계에서는 친환경 디자인 사례(무라벨, 종이팩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등)를 중심으로, 소비자의 행동 변화와 기업의 설계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노력이 재활용 효율에 큰 영향을 미친다는 점을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확인했다. 소비자 인식 개선 캠페인과 정책적 인센티브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도입이 병행될 필요가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수거 및 폐기 단계에서는 RFID·AI 기술을 활용한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스마트 수거 시스템의 가능성을 제안했다. 이 시스템은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현장의 분리 정확도 향상뿐 아니라, 데이터 기반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환경교육 및 인센티브 설계에도 기여할 수 있다는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점에서 현실적 대안이 될 수 있다.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마지막으로 처리 단계에서는 열분해와 광분해 기술의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원리, 효과, 한계를 비교하며, 미래형 플라스틱 자원화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시스템의 핵심축으로서의 가능성을 검토했다. 특히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열분해는 고부가가치 열분해유 생산 및 온실가스 감축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효과 측면에서 산업적 확장성이 크다.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본 탐구를 통해 확인한 바와 같이, 플라스틱 문제는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단순한 재활용을 넘어 전 생애주기 전체에 걸친 통합적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접근이 필요하다. 생산부터 처리까지의 각 단계는 서로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유기적으로 연결된 순환 구조 속에 있으며, 어느 하나만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개선되어서는 전체 시스템의 효율을 담보하기 어렵다.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이를 위해 기술적 대응과 더불어 소비자 행동 변화,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제도적 기반 강화, 산업계 참여가 함께 이루어져야 하며,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본 연구에서 제안한 스마트 수거 시스템, 바이오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플라스틱 전환, 자원화 기술 도입은 실제로 학교나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지역사회 단위에서부터 실험적으로 적용해 볼 수 있는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구체적 방안이 될 수 있다. </w:t>
      </w:r>
    </w:p>
    <w:p>
      <w:pPr>
        <w:pStyle w:val="PO185"/>
        <w:rPr>
          <w:b w:val="0"/>
          <w:sz w:val="20"/>
          <w:szCs w:val="20"/>
          <w:shd w:val="clear"/>
          <w:rFonts w:ascii="Times New Roman" w:hAnsi="Times New Roman"/>
          <w:lang w:eastAsia="ko-KR"/>
        </w:rPr>
      </w:pP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향후에는 이 시스템을 기반으로 실제 플라스틱 흐름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데이터를 수집·분석하고, 그에 따라 지역 맞춤형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정책이나 교육 프로그램을 설계하는 후속 연구로 </w:t>
      </w:r>
      <w:r>
        <w:rPr>
          <w:b w:val="0"/>
          <w:sz w:val="20"/>
          <w:szCs w:val="20"/>
          <w:shd w:val="clear"/>
          <w:rFonts w:ascii="Times New Roman" w:hAnsi="Times New Roman" w:hint="eastAsia"/>
          <w:lang w:eastAsia="ko-KR"/>
        </w:rPr>
        <w:t xml:space="preserve">이어지는 것이 바람직할 것이다.</w:t>
      </w:r>
    </w:p>
    <w:p>
      <w:pPr>
        <w:pStyle w:val="PO185"/>
        <w:rPr>
          <w:shd w:val="clear"/>
          <w:rFonts w:ascii="Times New Roman" w:hAnsi="Times New Roman"/>
          <w:lang w:eastAsia="ko-KR"/>
        </w:rPr>
      </w:pPr>
      <w:r>
        <w:rPr>
          <w:shd w:val="clear"/>
          <w:rFonts w:ascii="Times New Roman" w:hAnsi="Times New Roman"/>
          <w:lang w:eastAsia="ko-KR"/>
        </w:rPr>
        <w:t>REFERENCES</w:t>
      </w:r>
    </w:p>
    <w:p>
      <w:pPr>
        <w:rPr>
          <w:sz w:val="20"/>
          <w:szCs w:val="20"/>
          <w:shd w:val="clear"/>
          <w:lang w:eastAsia="ko-KR"/>
        </w:rPr>
      </w:pPr>
      <w:r>
        <w:rPr>
          <w:sz w:val="20"/>
          <w:szCs w:val="20"/>
          <w:shd w:val="clear"/>
          <w:rFonts w:hint="eastAsia"/>
          <w:lang w:eastAsia="ko-KR"/>
        </w:rPr>
        <w:t xml:space="preserve">국내 기업 음료 패키지 사례 :</w:t>
      </w:r>
    </w:p>
    <w:p>
      <w:pPr>
        <w:sectPr>
          <w:type w:val="continuous"/>
          <w:pgSz w:w="12240" w:h="15840"/>
          <w:pgMar w:top="720" w:left="1094" w:bottom="950" w:right="1094" w:gutter="0"/>
          <w:pgNumType w:fmt="decimal"/>
          <w:docGrid w:type="default" w:linePitch="360" w:charSpace="0"/>
          <w:cols w:equalWidth="1" w:num="2" w:sep="0" w:space="461"/>
        </w:sectPr>
        <w:rPr>
          <w:sz w:val="20"/>
          <w:szCs w:val="20"/>
          <w:shd w:val="clear"/>
          <w:lang w:eastAsia="ko-KR"/>
        </w:rPr>
      </w:pPr>
      <w:r>
        <w:rPr>
          <w:sz w:val="20"/>
          <w:szCs w:val="20"/>
          <w:shd w:val="clear"/>
          <w:rFonts w:hint="eastAsia"/>
          <w:lang w:eastAsia="ko-KR"/>
        </w:rPr>
        <w:t xml:space="preserve">국내석사학위논문 인천대학교 대학원, 2022. 인천</w:t>
      </w:r>
    </w:p>
    <w:p>
      <w:pPr>
        <w:sectPr>
          <w:type w:val="continuous"/>
          <w:pgSz w:w="12240" w:h="15840"/>
          <w:pgMar w:top="720" w:left="1094" w:bottom="950" w:right="1094" w:gutter="0"/>
          <w:pgNumType w:fmt="decimal"/>
          <w:docGrid w:type="default" w:linePitch="360" w:charSpace="0"/>
        </w:sectPr>
        <w:rPr>
          <w:shd w:val="clear"/>
          <w:lang w:eastAsia="ko-KR"/>
        </w:rPr>
      </w:pPr>
    </w:p>
    <w:p>
      <w:pPr>
        <w:spacing w:after="240"/>
        <w:rPr>
          <w:shd w:val="clear"/>
          <w:rFonts w:ascii="Arno Pro" w:hAnsi="Arno Pro"/>
          <w:lang w:eastAsia="ko-KR"/>
        </w:rPr>
      </w:pPr>
    </w:p>
    <w:sectPr>
      <w:type w:val="continuous"/>
      <w:headerReference w:type="even" r:id="rId9"/>
      <w:footerReference w:type="even" r:id="rId10"/>
      <w:footerReference w:type="default" r:id="rId11"/>
      <w:pgSz w:w="12240" w:h="15840"/>
      <w:pgMar w:top="720" w:left="1094" w:bottom="950" w:right="1094" w:header="0" w:footer="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"/>
    <w:family w:val="auto"/>
    <w:pitch w:val="variable"/>
    <w:sig w:usb0="e00002ff" w:usb1="5000205a" w:usb2="00000000" w:usb3="00000000" w:csb0="0000019f" w:csb1="00000000"/>
  </w:font>
  <w:font w:name="Myriad Pro Light">
    <w:altName w:val="Times New Roman"/>
    <w:panose1/>
    <w:charset w:val="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MS Gothic">
    <w:altName w:val="￯ﾼﾭ￯ﾼﾳ ￣ﾂﾴ￣ﾂﾷ￣ﾃﾃ￣ﾂ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">
    <w:altName w:val="Times New Roman"/>
    <w:panose1 w:val="00000000000000000000"/>
    <w:charset w:val="0"/>
    <w:family w:val="roman"/>
    <w:pitch w:val="variable"/>
    <w:sig w:usb0="60000287" w:usb1="00000001" w:usb2="00000000" w:usb3="00000000" w:csb0="0000019f" w:csb1="00000000"/>
  </w:font>
  <w:font w:name="KoPubWorldBatang Light">
    <w:altName w:val="￫ﾧﾑ￬ﾝﾀ ￪ﾳﾠ￫ﾔﾕ"/>
    <w:panose1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panose1/>
    <w:charset w:val="0"/>
    <w:family w:val="auto"/>
    <w:pitch w:val="variable"/>
    <w:sig w:usb0="03000000" w:usb1="00000000" w:usb2="00000000" w:usb3="00000000" w:csb0="00000001" w:csb1="00000000"/>
  </w:font>
  <w:font w:name="KoPubWorldBatang Medium">
    <w:altName w:val="￫ﾧﾑ￬ﾝﾀ ￪ﾳﾠ￫ﾔﾕ"/>
    <w:panose1/>
    <w:charset w:val="81"/>
    <w:family w:val="auto"/>
    <w:pitch w:val="variable"/>
    <w:sig w:usb0="b000aabf" w:usb1="79d7fcfb" w:usb2="00000010" w:usb3="00000000" w:csb0="002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￯ﾼﾭ￯ﾼﾳ ￦ﾘﾎ￦ﾜ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5"/>
      <w:framePr w:wrap="none" w:hSpace="0" w:vSpace="0" w:hAnchor="margin" w:vAnchor="text" w:y="1" w:x="10052"/>
      <w:rPr>
        <w:rStyle w:val="PO178"/>
        <w:shd w:val="clear"/>
      </w:rPr>
    </w:pPr>
    <w:r>
      <w:rPr>
        <w:rStyle w:val="PO178"/>
        <w:shd w:val="clear"/>
      </w:rPr>
      <w:fldChar w:fldCharType="begin"/>
    </w:r>
    <w:r>
      <w:rPr>
        <w:shd w:val="clear"/>
        <w:rFonts w:hint="eastAsia"/>
      </w:rPr>
      <w:instrText>PAGE  \* MERGEFORMAT</w:instrText>
    </w:r>
    <w:r>
      <w:fldChar w:fldCharType="separate"/>
    </w:r>
    <w:r>
      <w:rPr>
        <w:rStyle w:val="PO178"/>
        <w:shd w:val="clear"/>
      </w:rPr>
      <w:t>5</w:t>
    </w:r>
    <w:r>
      <w:rPr>
        <w:rStyle w:val="PO178"/>
        <w:shd w:val="clear"/>
      </w:rPr>
      <w:fldChar w:fldCharType="end"/>
    </w:r>
  </w:p>
  <w:p>
    <w:pPr>
      <w:pStyle w:val="PO175"/>
      <w:ind w:right="360" w:firstLine="0"/>
      <w:rPr>
        <w:shd w:val="clear"/>
      </w:rPr>
    </w:pPr>
  </w:p>
  <w:p>
    <w:pPr>
      <w:rPr>
        <w:shd w:val="clear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5"/>
      <w:framePr w:wrap="none" w:hSpace="0" w:vSpace="0" w:hAnchor="margin" w:vAnchor="text" w:y="1" w:x="10052"/>
      <w:rPr>
        <w:rStyle w:val="PO178"/>
        <w:shd w:val="clear"/>
      </w:rPr>
    </w:pPr>
    <w:r>
      <w:rPr>
        <w:rStyle w:val="PO178"/>
        <w:shd w:val="clear"/>
      </w:rPr>
      <w:fldChar w:fldCharType="begin"/>
    </w:r>
    <w:r>
      <w:rPr>
        <w:shd w:val="clear"/>
        <w:rFonts w:hint="eastAsia"/>
      </w:rPr>
      <w:instrText>PAGE  \* MERGEFORMAT</w:instrText>
    </w:r>
    <w:r>
      <w:fldChar w:fldCharType="separate"/>
    </w:r>
    <w:r>
      <w:rPr>
        <w:rStyle w:val="PO178"/>
        <w:shd w:val="clear"/>
      </w:rPr>
      <w:t>5</w:t>
    </w:r>
    <w:r>
      <w:rPr>
        <w:rStyle w:val="PO178"/>
        <w:shd w:val="clear"/>
      </w:rPr>
      <w:fldChar w:fldCharType="end"/>
    </w:r>
  </w:p>
  <w:p>
    <w:pPr>
      <w:pStyle w:val="PO175"/>
      <w:ind w:right="360" w:firstLine="0"/>
      <w:rPr>
        <w:shd w:val="clear"/>
      </w:rPr>
    </w:pPr>
  </w:p>
  <w:p>
    <w:pPr>
      <w:rPr>
        <w:shd w:val="clear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framePr w:wrap="none" w:hSpace="0" w:vSpace="0" w:hAnchor="margin" w:vAnchor="text" w:y="1" w:x="9275"/>
      <w:rPr>
        <w:rStyle w:val="PO178"/>
        <w:shd w:val="clear"/>
      </w:rPr>
    </w:pPr>
    <w:r>
      <w:rPr>
        <w:rStyle w:val="PO178"/>
        <w:shd w:val="clear"/>
      </w:rPr>
      <w:t xml:space="preserve">PAGE  </w:t>
    </w:r>
    <w:r>
      <w:rPr>
        <w:rStyle w:val="PO178"/>
        <w:shd w:val="clear"/>
      </w:rPr>
      <w:t>2</w:t>
    </w:r>
  </w:p>
  <w:p>
    <w:pPr>
      <w:ind w:right="360" w:firstLine="0"/>
      <w:rPr>
        <w:shd w:val="clea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ind w:right="360" w:firstLine="0"/>
      <w:rPr>
        <w:shd w:val="clear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91"/>
      <w:rPr>
        <w:shd w:val="clear"/>
      </w:rPr>
    </w:pPr>
    <w:r>
      <w:rPr>
        <w:sz w:val="20"/>
      </w:rPr>
      <w:drawing>
        <wp:inline distT="0" distB="0" distL="0" distR="0">
          <wp:extent cx="714375" cy="349250"/>
          <wp:effectExtent l="0" t="0" r="0" b="0"/>
          <wp:docPr id="3" name="Picture 1" descr="A blue and black 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Android/data/com.infraware.office.link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349885"/>
                  </a:xfrm>
                  <a:prstGeom prst="rect"/>
                  <a:ln cap="flat"/>
                </pic:spPr>
              </pic:pic>
            </a:graphicData>
          </a:graphic>
        </wp:inline>
      </w:drawing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rPr>
        <w:shd w:val="cle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B1CFED9"/>
    <w:lvl w:ilvl="0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2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3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4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5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6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7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  <w:lvl w:ilvl="8">
      <w:lvlJc w:val="left"/>
      <w:numFmt w:val="lowerLetter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hint="default"/>
      </w:rPr>
      <w:lvlText w:val="%1."/>
    </w:lvl>
  </w:abstractNum>
  <w:abstractNum w:abstractNumId="1">
    <w:multiLevelType w:val="hybridMultilevel"/>
    <w:nsid w:val="2F000001"/>
    <w:tmpl w:val="52EF4F2E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1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2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3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4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5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6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7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8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</w:abstractNum>
  <w:abstractNum w:abstractNumId="2">
    <w:multiLevelType w:val="hybridMultilevel"/>
    <w:nsid w:val="2F000002"/>
    <w:tmpl w:val="589D48E8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1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2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3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4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5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6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7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  <w:lvl w:ilvl="8">
      <w:lvlJc w:val="left"/>
      <w:numFmt w:val="decimal"/>
      <w:start w:val="1"/>
      <w:suff w:val="tab"/>
      <w:pPr>
        <w:ind w:left="360" w:hanging="360"/>
        <w:tabs>
          <w:tab w:val="left" w:pos="360"/>
        </w:tabs>
        <w:rPr/>
      </w:pPr>
      <w:rPr>
        <w:shd w:val="clear"/>
        <w:rFonts w:hint="default"/>
      </w:rPr>
      <w:lvlText w:val="%1."/>
    </w:lvl>
  </w:abstractNum>
  <w:abstractNum w:abstractNumId="3">
    <w:multiLevelType w:val="hybridMultilevel"/>
    <w:nsid w:val="2F000003"/>
    <w:tmpl w:val="2D4C3E1B"/>
    <w:lvl w:ilvl="0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2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3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4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5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6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7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  <w:lvl w:ilvl="8">
      <w:lvlJc w:val="left"/>
      <w:numFmt w:val="lowerLetter"/>
      <w:start w:val="1"/>
      <w:suff w:val="tab"/>
      <w:pPr>
        <w:ind w:left="922" w:hanging="360"/>
        <w:tabs>
          <w:tab w:val="left" w:pos="922"/>
        </w:tabs>
        <w:rPr/>
      </w:pPr>
      <w:rPr>
        <w:shd w:val="clear"/>
        <w:rFonts w:hint="default"/>
      </w:rPr>
      <w:lvlText w:val="%1."/>
    </w:lvl>
  </w:abstractNum>
  <w:abstractNum w:abstractNumId="4">
    <w:multiLevelType w:val="hybridMultilevel"/>
    <w:nsid w:val="2F000004"/>
    <w:tmpl w:val="22834B09"/>
    <w:lvl w:ilvl="0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1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2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3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4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5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6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7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  <w:lvl w:ilvl="8">
      <w:lvlJc w:val="left"/>
      <w:numFmt w:val="decimal"/>
      <w:start w:val="1"/>
      <w:suff w:val="tab"/>
      <w:pPr>
        <w:ind w:left="562" w:hanging="360"/>
        <w:tabs>
          <w:tab w:val="left" w:pos="562"/>
        </w:tabs>
        <w:rPr/>
      </w:pPr>
      <w:rPr>
        <w:shd w:val="clear"/>
        <w:rFonts w:hint="default"/>
      </w:rPr>
      <w:lvlText w:val="%1."/>
    </w:lvl>
  </w:abstractNum>
  <w:abstractNum w:abstractNumId="5">
    <w:multiLevelType w:val="hybridMultilevel"/>
    <w:nsid w:val="2F000005"/>
    <w:tmpl w:val="2E596595"/>
    <w:lvl w:ilvl="0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2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3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4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5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6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7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  <w:lvl w:ilvl="8">
      <w:lvlJc w:val="left"/>
      <w:numFmt w:val="lowerLetter"/>
      <w:start w:val="1"/>
      <w:suff w:val="tab"/>
      <w:pPr>
        <w:ind w:left="1080" w:hanging="360"/>
        <w:tabs>
          <w:tab w:val="left" w:pos="1080"/>
        </w:tabs>
        <w:rPr/>
      </w:pPr>
      <w:rPr>
        <w:shd w:val="clear"/>
        <w:rFonts w:hint="default"/>
      </w:rPr>
      <w:lvlText w:val="%1.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ja-JP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/>
        <w:rFonts w:ascii="New York" w:eastAsia="바탕" w:hAnsi="New York" w:cs="Times New Roman"/>
        <w:lang w:bidi="ar-SA" w:eastAsia="en-US" w:val="en-US"/>
      </w:rPr>
    </w:rPrDefault>
  </w:docDefaults>
  <w:style w:default="1" w:styleId="PO1" w:type="paragraph">
    <w:name w:val="Normal"/>
    <w:qFormat/>
    <w:pPr>
      <w:jc w:val="both"/>
      <w:spacing w:after="200"/>
      <w:rPr/>
    </w:pPr>
    <w:rPr>
      <w:sz w:val="24"/>
      <w:szCs w:val="24"/>
      <w:shd w:val="clear"/>
      <w:rFonts w:ascii="Times" w:hAnsi="Times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7" w:type="paragraph">
    <w:name w:val="heading 1"/>
    <w:basedOn w:val="PO1"/>
    <w:next w:val="PO1"/>
    <w:qFormat/>
    <w:pPr>
      <w:spacing w:before="180" w:after="60"/>
      <w:ind w:left="480" w:hanging="240"/>
      <w:rPr/>
      <w:outlineLvl w:val="0"/>
    </w:pPr>
    <w:rPr>
      <w:b w:val="1"/>
      <w:sz w:val="22"/>
      <w:szCs w:val="22"/>
      <w:shd w:val="clear"/>
      <w:rFonts w:ascii="Myriad Pro Light" w:hAnsi="Myriad Pro Light" w:cs="Arial"/>
    </w:rPr>
  </w:style>
  <w:style w:styleId="PO8" w:type="paragraph">
    <w:name w:val="heading 2"/>
    <w:basedOn w:val="PO1"/>
    <w:next w:val="PO1"/>
    <w:qFormat/>
    <w:pPr>
      <w:spacing w:before="60" w:after="60"/>
      <w:rPr/>
      <w:outlineLvl w:val="1"/>
    </w:pPr>
    <w:rPr>
      <w:b w:val="1"/>
      <w:sz w:val="20"/>
      <w:szCs w:val="20"/>
      <w:shd w:val="clear"/>
      <w:rFonts w:ascii="Myriad Pro Light" w:hAnsi="Myriad Pro Light" w:cs="Arial"/>
    </w:rPr>
  </w:style>
  <w:style w:styleId="PO9" w:type="paragraph">
    <w:name w:val="heading 3"/>
    <w:basedOn w:val="PO1"/>
    <w:next w:val="PO1"/>
    <w:qFormat/>
    <w:pPr>
      <w:spacing w:before="60" w:after="60"/>
      <w:ind w:left="180" w:firstLine="0"/>
      <w:rPr/>
      <w:outlineLvl w:val="2"/>
    </w:pPr>
    <w:rPr>
      <w:b w:val="1"/>
      <w:sz w:val="20"/>
      <w:szCs w:val="20"/>
      <w:shd w:val="clear"/>
      <w:rFonts w:ascii="Myriad Pro Light" w:hAnsi="Myriad Pro Light" w:cs="Arial"/>
    </w:rPr>
  </w:style>
  <w:style w:styleId="PO10" w:type="paragraph">
    <w:name w:val="heading 4"/>
    <w:basedOn w:val="PO1"/>
    <w:next w:val="PO1"/>
    <w:link w:val="PO193"/>
    <w:qFormat/>
    <w:uiPriority w:val="9"/>
    <w:semiHidden/>
    <w:unhideWhenUsed/>
    <w:pPr>
      <w:ind w:left="400" w:hangingChars="200" w:hanging="2000" w:leftChars="400"/>
      <w:rPr/>
      <w:outlineLvl w:val="3"/>
    </w:pPr>
    <w:rPr>
      <w:b w:val="1"/>
      <w:shd w:val="clear"/>
    </w:rPr>
  </w:style>
  <w:style w:styleId="PO11" w:type="paragraph">
    <w:name w:val="heading 5"/>
    <w:basedOn w:val="PO1"/>
    <w:next w:val="PO1"/>
    <w:link w:val="PO194"/>
    <w:qFormat/>
    <w:uiPriority w:val="9"/>
    <w:semiHidden/>
    <w:unhideWhenUsed/>
    <w:pPr>
      <w:ind w:left="500" w:hangingChars="200" w:hanging="2000" w:leftChars="500"/>
      <w:rPr/>
      <w:outlineLvl w:val="4"/>
    </w:pPr>
    <w:rPr>
      <w:shd w:val="clear"/>
      <w:rFonts w:asciiTheme="majorHAnsi" w:eastAsiaTheme="majorEastAsia" w:hAnsiTheme="majorHAnsi" w:cstheme="majorBidi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styleId="PO151" w:type="character">
    <w:name w:val="FollowedHyperlink"/>
    <w:rPr>
      <w:color w:val="800080"/>
      <w:u w:val="single"/>
      <w:shd w:val="clear"/>
    </w:rPr>
  </w:style>
  <w:style w:styleId="PO152" w:type="paragraph">
    <w:name w:val="Body Text"/>
    <w:basedOn w:val="PO1"/>
    <w:pPr>
      <w:jc w:val="center"/>
      <w:rPr/>
    </w:pPr>
    <w:rPr>
      <w:b w:val="1"/>
      <w:sz w:val="40"/>
      <w:szCs w:val="40"/>
      <w:shd w:val="clear"/>
    </w:rPr>
  </w:style>
  <w:style w:styleId="PO153" w:type="paragraph">
    <w:name w:val="footnote text"/>
    <w:basedOn w:val="PO1"/>
    <w:semiHidden/>
  </w:style>
  <w:style w:customStyle="1" w:styleId="PO154" w:type="paragraph">
    <w:name w:val="TF_References_Section"/>
    <w:basedOn w:val="PO1"/>
    <w:next w:val="PO1"/>
    <w:pPr>
      <w:spacing w:after="0"/>
      <w:ind w:firstLine="187"/>
      <w:rPr/>
    </w:pPr>
    <w:rPr>
      <w:sz w:val="17"/>
      <w:szCs w:val="17"/>
      <w:shd w:val="clear"/>
      <w:rFonts w:ascii="Arno Pro" w:hAnsi="Arno Pro"/>
    </w:rPr>
  </w:style>
  <w:style w:customStyle="1" w:styleId="PO155" w:type="paragraph">
    <w:name w:val="TA_Main_Text"/>
    <w:basedOn w:val="PO1"/>
    <w:pPr>
      <w:spacing w:after="60"/>
      <w:ind w:firstLine="180"/>
      <w:rPr/>
    </w:pPr>
    <w:rPr>
      <w:sz w:val="21"/>
      <w:szCs w:val="21"/>
      <w:shd w:val="clear"/>
      <w:rFonts w:ascii="Arno Pro" w:hAnsi="Arno Pro"/>
    </w:rPr>
  </w:style>
  <w:style w:customStyle="1" w:styleId="PO156" w:type="paragraph">
    <w:name w:val="BA_Title"/>
    <w:basedOn w:val="PO1"/>
    <w:pPr>
      <w:jc w:val="left"/>
      <w:spacing w:before="1400" w:after="180"/>
      <w:rPr/>
    </w:pPr>
    <w:rPr>
      <w:b w:val="1"/>
      <w:sz w:val="34"/>
      <w:szCs w:val="34"/>
      <w:shd w:val="clear"/>
      <w:rFonts w:ascii="Myriad Pro Light" w:hAnsi="Myriad Pro Light"/>
    </w:rPr>
  </w:style>
  <w:style w:customStyle="1" w:styleId="PO157" w:type="paragraph">
    <w:name w:val="BB_Author_Name"/>
    <w:basedOn w:val="PO1"/>
    <w:pPr>
      <w:jc w:val="left"/>
      <w:spacing w:after="180"/>
      <w:rPr/>
    </w:pPr>
    <w:rPr>
      <w:shd w:val="clear"/>
      <w:rFonts w:ascii="Arno Pro" w:hAnsi="Arno Pro"/>
    </w:rPr>
  </w:style>
  <w:style w:customStyle="1" w:styleId="PO158" w:type="paragraph">
    <w:name w:val="BC_Author_Address"/>
    <w:basedOn w:val="PO1"/>
    <w:pPr>
      <w:jc w:val="left"/>
      <w:spacing w:after="60"/>
      <w:rPr/>
    </w:pPr>
    <w:rPr>
      <w:sz w:val="20"/>
      <w:szCs w:val="20"/>
      <w:shd w:val="clear"/>
      <w:rFonts w:ascii="KoPubWorldBatang Light" w:eastAsia="KoPubWorldBatang Light" w:hAnsi="KoPubWorldBatang Light" w:cs="KoPubWorldBatang Light"/>
      <w:lang w:eastAsia="ko-KR"/>
    </w:rPr>
  </w:style>
  <w:style w:customStyle="1" w:styleId="PO159" w:type="paragraph">
    <w:name w:val="BI_Email_Address"/>
    <w:basedOn w:val="PO1"/>
    <w:pPr>
      <w:jc w:val="left"/>
      <w:spacing w:after="100"/>
      <w:rPr/>
    </w:pPr>
    <w:rPr>
      <w:sz w:val="18"/>
      <w:szCs w:val="18"/>
      <w:shd w:val="clear"/>
      <w:rFonts w:ascii="Arno Pro" w:hAnsi="Arno Pro"/>
    </w:rPr>
  </w:style>
  <w:style w:customStyle="1" w:styleId="PO160" w:type="paragraph">
    <w:name w:val="AI_Received_Date"/>
    <w:basedOn w:val="PO1"/>
    <w:next w:val="PO1"/>
    <w:pPr>
      <w:jc w:val="left"/>
      <w:spacing w:after="100"/>
      <w:rPr/>
    </w:pPr>
    <w:rPr>
      <w:sz w:val="18"/>
      <w:szCs w:val="18"/>
      <w:shd w:val="clear"/>
      <w:rFonts w:ascii="Arno Pro" w:hAnsi="Arno Pro"/>
    </w:rPr>
  </w:style>
  <w:style w:customStyle="1" w:styleId="PO161" w:type="paragraph">
    <w:name w:val="BD_Abstract"/>
    <w:basedOn w:val="PO1"/>
    <w:next w:val="PO155"/>
    <w:link w:val="PO186"/>
    <w:pPr>
      <w:spacing w:before="100" w:after="600"/>
      <w:pBdr>
        <w:top w:sz="4" w:space="1" w:color="000000" w:val="single"/>
        <w:bottom w:sz="4" w:space="1" w:color="000000" w:val="single"/>
      </w:pBdr>
      <w:rPr/>
    </w:pPr>
    <w:rPr>
      <w:sz w:val="21"/>
      <w:szCs w:val="21"/>
      <w:shd w:val="clear"/>
      <w:rFonts w:ascii="Arno Pro" w:hAnsi="Arno Pro"/>
    </w:rPr>
  </w:style>
  <w:style w:customStyle="1" w:styleId="PO162" w:type="paragraph">
    <w:name w:val="Section_Content"/>
    <w:basedOn w:val="PO1"/>
    <w:next w:val="PO1"/>
    <w:pPr>
      <w:spacing w:after="0"/>
      <w:rPr/>
    </w:pPr>
    <w:rPr>
      <w:sz w:val="20"/>
      <w:szCs w:val="20"/>
      <w:shd w:val="clear"/>
      <w:rFonts w:ascii="Arno Pro" w:hAnsi="Arno Pro"/>
    </w:rPr>
  </w:style>
  <w:style w:customStyle="1" w:styleId="PO163" w:type="paragraph">
    <w:name w:val="VC_Scheme_Title"/>
    <w:basedOn w:val="PO1"/>
    <w:next w:val="PO1"/>
    <w:pPr>
      <w:spacing w:after="180"/>
      <w:rPr/>
    </w:pPr>
    <w:rPr>
      <w:b w:val="1"/>
      <w:sz w:val="21"/>
      <w:szCs w:val="21"/>
      <w:shd w:val="clear"/>
      <w:rFonts w:ascii="Arno Pro" w:hAnsi="Arno Pro"/>
    </w:rPr>
  </w:style>
  <w:style w:customStyle="1" w:styleId="PO164" w:type="paragraph">
    <w:name w:val="VD_Table_Title"/>
    <w:basedOn w:val="PO1"/>
    <w:next w:val="PO1"/>
    <w:pPr>
      <w:spacing w:after="180"/>
      <w:rPr/>
    </w:pPr>
    <w:rPr>
      <w:b w:val="1"/>
      <w:sz w:val="19"/>
      <w:szCs w:val="19"/>
      <w:shd w:val="clear"/>
      <w:rFonts w:ascii="Arno Pro" w:hAnsi="Arno Pro"/>
    </w:rPr>
  </w:style>
  <w:style w:customStyle="1" w:styleId="PO165" w:type="paragraph">
    <w:name w:val="VA_Figure_Caption"/>
    <w:basedOn w:val="PO1"/>
    <w:next w:val="PO1"/>
    <w:pPr>
      <w:spacing w:before="200" w:after="120"/>
      <w:rPr/>
    </w:pPr>
    <w:rPr>
      <w:sz w:val="20"/>
      <w:szCs w:val="20"/>
      <w:shd w:val="clear"/>
      <w:rFonts w:ascii="Arno Pro" w:hAnsi="Arno Pro"/>
    </w:rPr>
  </w:style>
  <w:style w:customStyle="1" w:styleId="PO166" w:type="paragraph">
    <w:name w:val="VB_Chart_Title"/>
    <w:basedOn w:val="PO1"/>
    <w:next w:val="PO1"/>
    <w:pPr>
      <w:spacing w:after="180"/>
      <w:rPr/>
    </w:pPr>
    <w:rPr>
      <w:b w:val="1"/>
      <w:sz w:val="19"/>
      <w:szCs w:val="19"/>
      <w:shd w:val="clear"/>
      <w:rFonts w:ascii="Arno Pro" w:hAnsi="Arno Pro"/>
    </w:rPr>
  </w:style>
  <w:style w:customStyle="1" w:styleId="PO167" w:type="paragraph">
    <w:name w:val="FE_Table_Footnote"/>
    <w:basedOn w:val="PO1"/>
    <w:next w:val="PO1"/>
    <w:pPr>
      <w:spacing w:before="60" w:after="120"/>
      <w:ind w:firstLine="187"/>
      <w:rPr/>
    </w:pPr>
    <w:rPr>
      <w:sz w:val="20"/>
      <w:szCs w:val="20"/>
      <w:shd w:val="clear"/>
      <w:rFonts w:ascii="Arno Pro" w:hAnsi="Arno Pro"/>
    </w:rPr>
  </w:style>
  <w:style w:customStyle="1" w:styleId="PO168" w:type="paragraph">
    <w:name w:val="FC_Chart_Footnote"/>
    <w:basedOn w:val="PO1"/>
    <w:next w:val="PO1"/>
    <w:pPr>
      <w:spacing w:before="60" w:after="120"/>
      <w:ind w:firstLine="187"/>
      <w:rPr/>
    </w:pPr>
    <w:rPr>
      <w:sz w:val="20"/>
      <w:szCs w:val="20"/>
      <w:shd w:val="clear"/>
      <w:rFonts w:ascii="Arno Pro" w:hAnsi="Arno Pro"/>
    </w:rPr>
  </w:style>
  <w:style w:customStyle="1" w:styleId="PO169" w:type="paragraph">
    <w:name w:val="FD_Scheme_Footnote"/>
    <w:basedOn w:val="PO1"/>
    <w:next w:val="PO1"/>
    <w:pPr>
      <w:spacing w:before="60" w:after="120"/>
      <w:ind w:firstLine="187"/>
      <w:rPr/>
    </w:pPr>
    <w:rPr>
      <w:sz w:val="20"/>
      <w:szCs w:val="20"/>
      <w:shd w:val="clear"/>
      <w:rFonts w:ascii="Arno Pro" w:hAnsi="Arno Pro"/>
    </w:rPr>
  </w:style>
  <w:style w:customStyle="1" w:styleId="PO170" w:type="paragraph">
    <w:name w:val="TC_Table_Body"/>
    <w:basedOn w:val="PO1"/>
    <w:next w:val="PO1"/>
    <w:pPr>
      <w:spacing w:before="20" w:after="60"/>
      <w:rPr/>
    </w:pPr>
    <w:rPr>
      <w:sz w:val="20"/>
      <w:szCs w:val="20"/>
      <w:shd w:val="clear"/>
      <w:rFonts w:ascii="Arno Pro" w:hAnsi="Arno Pro"/>
    </w:rPr>
  </w:style>
  <w:style w:customStyle="1" w:styleId="PO171" w:type="paragraph">
    <w:name w:val="BE_Author_Biography"/>
    <w:basedOn w:val="PO1"/>
    <w:link w:val="PO189"/>
    <w:rPr>
      <w:sz w:val="22"/>
      <w:szCs w:val="22"/>
      <w:shd w:val="clear"/>
      <w:rFonts w:ascii="Arno Pro" w:hAnsi="Arno Pro"/>
    </w:rPr>
  </w:style>
  <w:style w:customStyle="1" w:styleId="PO172" w:type="paragraph">
    <w:name w:val="Style BI_Email_Address + 9.5 pt"/>
    <w:basedOn w:val="PO159"/>
    <w:pPr>
      <w:spacing w:after="60"/>
      <w:rPr/>
    </w:pPr>
    <w:rPr>
      <w:sz w:val="19"/>
      <w:szCs w:val="19"/>
      <w:shd w:val="clear"/>
    </w:rPr>
  </w:style>
  <w:style w:customStyle="1" w:styleId="PO173" w:type="paragraph">
    <w:name w:val="SN_Synopsis_TOC"/>
    <w:basedOn w:val="PO1"/>
    <w:next w:val="PO1"/>
    <w:pPr>
      <w:spacing w:after="60"/>
      <w:rPr/>
    </w:pPr>
    <w:rPr>
      <w:sz w:val="20"/>
      <w:szCs w:val="20"/>
      <w:shd w:val="clear"/>
      <w:rFonts w:ascii="Arno Pro" w:hAnsi="Arno Pro"/>
    </w:rPr>
  </w:style>
  <w:style w:styleId="PO174" w:type="character">
    <w:name w:val="Hyperlink"/>
    <w:rPr>
      <w:color w:val="0000FF"/>
      <w:u w:val="single"/>
      <w:shd w:val="clear"/>
    </w:rPr>
  </w:style>
  <w:style w:styleId="PO175" w:type="paragraph">
    <w:name w:val="footer"/>
    <w:basedOn w:val="PO1"/>
    <w:pPr>
      <w:tabs>
        <w:tab w:val="center" w:pos="4320"/>
        <w:tab w:val="right" w:pos="8640"/>
      </w:tabs>
      <w:rPr/>
    </w:pPr>
  </w:style>
  <w:style w:customStyle="1" w:styleId="PO176" w:type="paragraph">
    <w:name w:val="BG_Keywords"/>
    <w:basedOn w:val="PO1"/>
    <w:pPr>
      <w:jc w:val="left"/>
      <w:spacing w:after="220"/>
      <w:rPr/>
    </w:pPr>
    <w:rPr>
      <w:i w:val="1"/>
      <w:sz w:val="20"/>
      <w:szCs w:val="20"/>
      <w:shd w:val="clear"/>
      <w:rFonts w:ascii="Arno Pro" w:hAnsi="Arno Pro"/>
    </w:rPr>
  </w:style>
  <w:style w:customStyle="1" w:styleId="PO177" w:type="paragraph">
    <w:name w:val="BH_Briefs"/>
    <w:basedOn w:val="PO1"/>
    <w:next w:val="PO161"/>
    <w:pPr>
      <w:jc w:val="left"/>
      <w:spacing w:before="180" w:after="60"/>
      <w:rPr/>
    </w:pPr>
    <w:rPr>
      <w:sz w:val="20"/>
      <w:szCs w:val="20"/>
      <w:shd w:val="clear"/>
      <w:rFonts w:ascii="Arno Pro" w:hAnsi="Arno Pro"/>
    </w:rPr>
  </w:style>
  <w:style w:styleId="PO178" w:type="character">
    <w:name w:val="page number"/>
    <w:basedOn w:val="PO2"/>
  </w:style>
  <w:style w:styleId="PO179" w:type="paragraph">
    <w:name w:val="Balloon Text"/>
    <w:basedOn w:val="PO1"/>
    <w:semiHidden/>
    <w:rPr>
      <w:sz w:val="16"/>
      <w:szCs w:val="16"/>
      <w:shd w:val="clear"/>
      <w:rFonts w:ascii="Tahoma" w:hAnsi="Tahoma" w:cs="Tahoma"/>
    </w:rPr>
  </w:style>
  <w:style w:styleId="PO180" w:type="character">
    <w:name w:val="endnote reference"/>
    <w:semiHidden/>
    <w:rPr>
      <w:vertAlign w:val="superscript"/>
      <w:sz w:val="18"/>
      <w:szCs w:val="18"/>
      <w:shd w:val="clear"/>
      <w:rFonts w:ascii="Times" w:hAnsi="Times"/>
    </w:rPr>
  </w:style>
  <w:style w:customStyle="1" w:styleId="PO181" w:type="paragraph">
    <w:name w:val="Style TC_Table_Body + Bold"/>
    <w:basedOn w:val="PO170"/>
    <w:rPr>
      <w:b w:val="1"/>
      <w:sz w:val="15"/>
      <w:szCs w:val="15"/>
      <w:shd w:val="clear"/>
    </w:rPr>
  </w:style>
  <w:style w:customStyle="1" w:styleId="PO182" w:type="paragraph">
    <w:name w:val="BD_Abstract_Title"/>
    <w:basedOn w:val="PO161"/>
    <w:link w:val="PO187"/>
    <w:rPr>
      <w:b w:val="1"/>
      <w:shd w:val="clear"/>
    </w:rPr>
  </w:style>
  <w:style w:customStyle="1" w:styleId="PO183" w:type="character">
    <w:name w:val="BD_Abstract Char"/>
    <w:link w:val="PO190"/>
    <w:rPr>
      <w:sz w:val="19"/>
      <w:szCs w:val="19"/>
      <w:shd w:val="clear"/>
      <w:rFonts w:ascii="Arno Pro" w:hAnsi="Arno Pro"/>
      <w:lang w:bidi="ar-SA" w:eastAsia="en-US" w:val="en-US"/>
    </w:rPr>
  </w:style>
  <w:style w:customStyle="1" w:styleId="PO184" w:type="character">
    <w:name w:val="BD_Abstract_Title Char"/>
    <w:link w:val="PO185"/>
    <w:rPr>
      <w:b w:val="1"/>
      <w:sz w:val="19"/>
      <w:szCs w:val="19"/>
      <w:shd w:val="clear"/>
      <w:rFonts w:ascii="Arno Pro" w:hAnsi="Arno Pro"/>
      <w:lang w:bidi="ar-SA" w:eastAsia="en-US" w:val="en-US"/>
    </w:rPr>
  </w:style>
  <w:style w:customStyle="1" w:styleId="PO185" w:type="paragraph">
    <w:name w:val="Section_Title"/>
    <w:basedOn w:val="PO162"/>
    <w:link w:val="PO184"/>
    <w:pPr>
      <w:spacing w:before="180" w:after="120"/>
      <w:rPr/>
    </w:pPr>
    <w:rPr>
      <w:b w:val="1"/>
      <w:sz w:val="21"/>
      <w:szCs w:val="21"/>
      <w:shd w:val="clear"/>
      <w:rFonts w:ascii="Myriad Pro Light" w:hAnsi="Myriad Pro Light"/>
    </w:rPr>
  </w:style>
  <w:style w:customStyle="1" w:styleId="PO186" w:type="paragraph">
    <w:name w:val="Author_Information_Title"/>
    <w:basedOn w:val="PO1"/>
    <w:link w:val="PO161"/>
    <w:pPr>
      <w:spacing w:before="180" w:after="60"/>
      <w:rPr/>
    </w:pPr>
    <w:rPr>
      <w:b w:val="1"/>
      <w:sz w:val="21"/>
      <w:szCs w:val="21"/>
      <w:shd w:val="clear"/>
      <w:rFonts w:ascii="Myriad Pro Light" w:hAnsi="Myriad Pro Light"/>
    </w:rPr>
  </w:style>
  <w:style w:customStyle="1" w:styleId="PO187" w:type="paragraph">
    <w:name w:val="Section_Subtitle"/>
    <w:basedOn w:val="PO1"/>
    <w:link w:val="PO182"/>
    <w:pPr>
      <w:jc w:val="left"/>
      <w:spacing w:before="120" w:after="60"/>
      <w:rPr/>
    </w:pPr>
    <w:rPr>
      <w:b w:val="1"/>
      <w:sz w:val="19"/>
      <w:szCs w:val="19"/>
      <w:shd w:val="clear"/>
      <w:rFonts w:ascii="Myriad Pro Light" w:hAnsi="Myriad Pro Light"/>
    </w:rPr>
  </w:style>
  <w:style w:customStyle="1" w:styleId="PO188" w:type="character">
    <w:name w:val="FA_Author_Info_Subtitle Char"/>
    <w:rPr>
      <w:b w:val="1"/>
      <w:sz w:val="19"/>
      <w:szCs w:val="19"/>
      <w:shd w:val="clear"/>
      <w:rFonts w:ascii="Myriad Pro Light" w:hAnsi="Myriad Pro Light"/>
      <w:lang w:bidi="ar-SA" w:eastAsia="en-US" w:val="en-US"/>
    </w:rPr>
  </w:style>
  <w:style w:customStyle="1" w:styleId="PO189" w:type="character">
    <w:name w:val="TC_Table_Body Char"/>
    <w:link w:val="PO171"/>
    <w:rPr>
      <w:sz w:val="18"/>
      <w:szCs w:val="18"/>
      <w:shd w:val="clear"/>
      <w:rFonts w:ascii="Arno Pro" w:hAnsi="Arno Pro"/>
      <w:lang w:bidi="ar-SA" w:eastAsia="en-US" w:val="en-US"/>
    </w:rPr>
  </w:style>
  <w:style w:customStyle="1" w:styleId="PO190" w:type="character">
    <w:name w:val="Style TC_Table_Body + Bold Char"/>
    <w:link w:val="PO183"/>
    <w:rPr>
      <w:b w:val="1"/>
      <w:sz w:val="18"/>
      <w:szCs w:val="18"/>
      <w:shd w:val="clear"/>
      <w:rFonts w:ascii="Arno Pro Bold" w:hAnsi="Arno Pro Bold"/>
      <w:lang w:bidi="ar-SA" w:eastAsia="en-US" w:val="en-US"/>
    </w:rPr>
  </w:style>
  <w:style w:styleId="PO191" w:type="paragraph">
    <w:name w:val="header"/>
    <w:basedOn w:val="PO1"/>
    <w:link w:val="PO192"/>
    <w:uiPriority w:val="99"/>
    <w:unhideWhenUsed/>
    <w:pPr>
      <w:spacing w:after="0"/>
      <w:tabs>
        <w:tab w:val="center" w:pos="4680"/>
        <w:tab w:val="right" w:pos="9360"/>
      </w:tabs>
      <w:rPr/>
    </w:pPr>
  </w:style>
  <w:style w:customStyle="1" w:styleId="PO192" w:type="character">
    <w:name w:val="머리글 Char"/>
    <w:basedOn w:val="PO2"/>
    <w:link w:val="PO191"/>
    <w:uiPriority w:val="99"/>
    <w:rPr>
      <w:sz w:val="24"/>
      <w:szCs w:val="24"/>
      <w:shd w:val="clear"/>
      <w:rFonts w:ascii="Times" w:hAnsi="Times"/>
    </w:rPr>
  </w:style>
  <w:style w:customStyle="1" w:styleId="PO193" w:type="character">
    <w:name w:val="제목 4 Char"/>
    <w:basedOn w:val="PO2"/>
    <w:link w:val="PO10"/>
    <w:uiPriority w:val="9"/>
    <w:semiHidden/>
    <w:rPr>
      <w:b w:val="1"/>
      <w:sz w:val="24"/>
      <w:szCs w:val="24"/>
      <w:shd w:val="clear"/>
      <w:rFonts w:ascii="Times" w:hAnsi="Times"/>
    </w:rPr>
  </w:style>
  <w:style w:customStyle="1" w:styleId="PO194" w:type="character">
    <w:name w:val="제목 5 Char"/>
    <w:basedOn w:val="PO2"/>
    <w:link w:val="PO11"/>
    <w:uiPriority w:val="9"/>
    <w:semiHidden/>
    <w:rPr>
      <w:sz w:val="24"/>
      <w:szCs w:val="24"/>
      <w:shd w:val="clear"/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4.xml"></Relationship><Relationship Id="rId7" Type="http://schemas.openxmlformats.org/officeDocument/2006/relationships/footer" Target="footer6.xml"></Relationship><Relationship Id="rId8" Type="http://schemas.openxmlformats.org/officeDocument/2006/relationships/image" Target="media/image2.jpg"></Relationship><Relationship Id="rId9" Type="http://schemas.openxmlformats.org/officeDocument/2006/relationships/header" Target="header34.xml"></Relationship><Relationship Id="rId10" Type="http://schemas.openxmlformats.org/officeDocument/2006/relationships/footer" Target="footer35.xml"></Relationship><Relationship Id="rId11" Type="http://schemas.openxmlformats.org/officeDocument/2006/relationships/footer" Target="footer37.xml"></Relationship><Relationship Id="rId12" Type="http://schemas.openxmlformats.org/officeDocument/2006/relationships/numbering" Target="numbering.xml"></Relationship><Relationship Id="rId13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16341</Characters>
  <CharactersWithSpaces>0</CharactersWithSpaces>
  <Company>ACS</Company>
  <DocSecurity>0</DocSecurity>
  <HyperlinksChanged>false</HyperlinksChanged>
  <Lines>104</Lines>
  <LinksUpToDate>false</LinksUpToDate>
  <Pages>9</Pages>
  <Paragraphs>32</Paragraphs>
  <Words>3868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전민규</dc:creator>
  <cp:lastModifiedBy/>
  <dc:title>Template for Electronic Submission to ACS Journals</dc:title>
  <dcterms:modified xsi:type="dcterms:W3CDTF">2025-07-13T11:41:00Z</dcterms:modified>
</cp:coreProperties>
</file>