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image/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body>
    <w:p>
      <w:pPr>
        <w:pStyle w:val="b0"/>
        <w:widowControl w:val="off"/>
        <w:wordWrap/>
        <w:jc w:val="left"/>
        <w:rPr>
          <w:lang w:eastAsia="ko-KR"/>
          <w:rFonts w:ascii="함초롬바탕" w:eastAsia="함초롬바탕" w:hAnsi="함초롬바탕" w:cs="함초롬바탕" w:hint="eastAsia"/>
          <w:b/>
          <w:bCs/>
          <w:strike w:val="off"/>
          <w:sz w:val="22"/>
          <w:szCs w:val="22"/>
          <w:u w:color="auto"/>
          <w:rtl w:val="off"/>
        </w:rPr>
      </w:pPr>
      <w:bookmarkStart w:id="1" w:name="_top"/>
      <w:bookmarkEnd w:id="1"/>
    </w:p>
    <w:p>
      <w:pPr>
        <w:pStyle w:val="b0"/>
        <w:widowControl w:val="off"/>
        <w:wordWrap/>
        <w:jc w:val="left"/>
        <w:spacing w:line="240"/>
        <w:rPr>
          <w:rFonts w:ascii="함초롬바탕" w:eastAsia="함초롬바탕" w:hAnsi="함초롬바탕" w:cs="함초롬바탕" w:hint="default"/>
          <w:b/>
          <w:bCs/>
          <w:strike w:val="off"/>
          <w:sz w:val="22"/>
          <w:szCs w:val="22"/>
          <w:u w:color="auto"/>
        </w:rPr>
      </w:pPr>
      <w:r>
        <w:rPr>
          <w:rFonts w:ascii="함초롬바탕" w:eastAsia="함초롬바탕" w:hAnsi="함초롬바탕" w:cs="함초롬바탕" w:hint="default"/>
          <w:b/>
          <w:bCs/>
          <w:strike w:val="off"/>
          <w:sz w:val="22"/>
          <w:szCs w:val="22"/>
          <w:u w:color="auto"/>
        </w:rPr>
        <w:t>광촉매 TiO</w:t>
      </w:r>
      <w:r>
        <w:rPr>
          <w:rFonts w:ascii="함초롬바탕" w:eastAsia="함초롬바탕" w:hAnsi="함초롬바탕" w:cs="함초롬바탕" w:hint="default"/>
          <w:b/>
          <w:bCs/>
          <w:strike w:val="off"/>
          <w:sz w:val="22"/>
          <w:szCs w:val="22"/>
          <w:u w:color="auto"/>
        </w:rPr>
        <w:t>₂의</w:t>
      </w:r>
      <w:r>
        <w:rPr>
          <w:rFonts w:ascii="함초롬바탕" w:eastAsia="함초롬바탕" w:hAnsi="함초롬바탕" w:cs="함초롬바탕" w:hint="default"/>
          <w:b/>
          <w:bCs/>
          <w:strike w:val="off"/>
          <w:sz w:val="22"/>
          <w:szCs w:val="22"/>
          <w:u w:color="auto"/>
        </w:rPr>
        <w:t xml:space="preserve"> 오염 물질 분해 잔여물을</w:t>
      </w:r>
      <w:r>
        <w:rPr>
          <w:lang w:eastAsia="ko-KR"/>
          <w:rFonts w:ascii="함초롬바탕" w:eastAsia="함초롬바탕" w:hAnsi="함초롬바탕" w:cs="함초롬바탕" w:hint="default"/>
          <w:b/>
          <w:bCs/>
          <w:strike w:val="off"/>
          <w:sz w:val="22"/>
          <w:szCs w:val="22"/>
          <w:u w:color="auto"/>
          <w:rtl w:val="off"/>
        </w:rPr>
        <w:t xml:space="preserve"> </w:t>
      </w:r>
      <w:r>
        <w:rPr>
          <w:rFonts w:ascii="함초롬바탕" w:eastAsia="함초롬바탕" w:hAnsi="함초롬바탕" w:cs="함초롬바탕" w:hint="default"/>
          <w:b/>
          <w:bCs/>
          <w:strike w:val="off"/>
          <w:sz w:val="22"/>
          <w:szCs w:val="22"/>
          <w:u w:color="auto"/>
        </w:rPr>
        <w:t>이용한</w:t>
      </w:r>
    </w:p>
    <w:p>
      <w:pPr>
        <w:pStyle w:val="b0"/>
        <w:widowControl w:val="off"/>
        <w:wordWrap/>
        <w:jc w:val="left"/>
        <w:spacing w:line="240"/>
        <w:rPr>
          <w:lang w:eastAsia="ko-KR"/>
          <w:rFonts w:ascii="함초롬바탕" w:eastAsia="함초롬바탕" w:hAnsi="함초롬바탕" w:cs="함초롬바탕" w:hint="eastAsia"/>
          <w:b/>
          <w:bCs/>
          <w:strike w:val="off"/>
          <w:sz w:val="24"/>
          <w:szCs w:val="24"/>
          <w:u w:color="auto"/>
          <w:rtl w:val="off"/>
        </w:rPr>
      </w:pPr>
      <w:r>
        <w:rPr>
          <w:rFonts w:ascii="함초롬바탕" w:eastAsia="함초롬바탕" w:hAnsi="함초롬바탕" w:cs="함초롬바탕" w:hint="default"/>
          <w:b/>
          <w:bCs/>
          <w:strike w:val="off"/>
          <w:sz w:val="22"/>
          <w:szCs w:val="22"/>
          <w:u w:color="auto"/>
        </w:rPr>
        <w:t>수소 연료 전지 가동 가능성에 관한 탐구</w:t>
      </w:r>
    </w:p>
    <w:p>
      <w:pPr>
        <w:pStyle w:val="b0"/>
        <w:widowControl w:val="off"/>
        <w:wordWrap/>
        <w:jc w:val="left"/>
        <w:spacing w:line="240"/>
        <w:rPr>
          <w:lang w:eastAsia="ko-KR"/>
          <w:rFonts w:ascii="함초롬바탕" w:eastAsia="함초롬바탕" w:hAnsi="함초롬바탕" w:cs="함초롬바탕" w:hint="eastAsia"/>
          <w:b/>
          <w:bCs/>
          <w:strike w:val="off"/>
          <w:sz w:val="12"/>
          <w:szCs w:val="12"/>
          <w:u w:color="auto"/>
          <w:rtl w:val="off"/>
        </w:rPr>
      </w:pPr>
      <w:r>
        <w:rPr>
          <w:rFonts w:ascii="함초롬바탕" w:eastAsia="함초롬바탕" w:hAnsi="함초롬바탕" w:cs="함초롬바탕" w:hint="default"/>
          <w:b/>
          <w:bCs/>
          <w:strike w:val="off"/>
          <w:sz w:val="12"/>
          <w:szCs w:val="12"/>
          <w:u w:color="auto"/>
        </w:rPr>
        <w:t>(The Possibility of Hydrogen Cells Fuelled by the Degradation of Pollutants with TiO</w:t>
      </w:r>
      <w:r>
        <w:rPr>
          <w:rFonts w:ascii="함초롬바탕" w:eastAsia="함초롬바탕" w:hAnsi="함초롬바탕" w:cs="함초롬바탕" w:hint="default"/>
          <w:b/>
          <w:bCs/>
          <w:strike w:val="off"/>
          <w:sz w:val="12"/>
          <w:szCs w:val="12"/>
          <w:u w:color="auto"/>
        </w:rPr>
        <w:t>₂</w:t>
      </w:r>
      <w:r>
        <w:rPr>
          <w:rFonts w:ascii="함초롬바탕" w:eastAsia="함초롬바탕" w:hAnsi="함초롬바탕" w:cs="함초롬바탕" w:hint="default"/>
          <w:b/>
          <w:bCs/>
          <w:strike w:val="off"/>
          <w:sz w:val="12"/>
          <w:szCs w:val="12"/>
          <w:u w:color="auto"/>
        </w:rPr>
        <w:t xml:space="preserve"> Photocatalysis)</w:t>
      </w:r>
      <w:r>
        <w:rPr>
          <w:lang w:eastAsia="ko-KR"/>
          <w:rFonts w:ascii="함초롬바탕" w:eastAsia="함초롬바탕" w:hAnsi="함초롬바탕" w:cs="함초롬바탕" w:hint="eastAsia"/>
          <w:b/>
          <w:bCs/>
          <w:strike w:val="off"/>
          <w:sz w:val="12"/>
          <w:szCs w:val="12"/>
          <w:u w:color="auto"/>
        </w:rPr>
        <w:t xml:space="preserve"> </w:t>
      </w:r>
    </w:p>
    <w:p>
      <w:pPr>
        <w:pStyle w:val="b0"/>
        <w:widowControl w:val="off"/>
        <w:wordWrap/>
        <w:jc w:val="left"/>
        <w:spacing w:line="240"/>
        <w:rPr>
          <w:lang w:eastAsia="ko-KR"/>
          <w:rFonts w:ascii="함초롬바탕" w:eastAsia="함초롬바탕" w:hAnsi="함초롬바탕" w:cs="함초롬바탕" w:hint="eastAsia"/>
          <w:b/>
          <w:bCs/>
          <w:strike w:val="off"/>
          <w:sz w:val="12"/>
          <w:szCs w:val="12"/>
          <w:u w:color="auto"/>
        </w:rPr>
      </w:pPr>
    </w:p>
    <w:p>
      <w:pPr>
        <w:pStyle w:val="BBAuthorName"/>
        <w:rPr>
          <w:lang w:eastAsia="ko-KR"/>
          <w:rFonts w:ascii="함초롬바탕" w:eastAsia="함초롬바탕" w:hAnsi="함초롬바탕" w:cs="함초롬바탕"/>
          <w:highlight w:val="yellow"/>
          <w:u w:color="auto"/>
        </w:rPr>
      </w:pPr>
      <w:r>
        <w:rPr>
          <w:lang w:eastAsia="ko-KR"/>
          <w:rFonts w:ascii="함초롬바탕" w:eastAsia="함초롬바탕" w:hAnsi="함초롬바탕" w:cs="함초롬바탕" w:hint="eastAsia"/>
          <w:sz w:val="12"/>
          <w:szCs w:val="12"/>
          <w:u w:color="auto"/>
          <w:rtl w:val="off"/>
        </w:rPr>
        <w:t>김태경, 김대현, 유중현</w:t>
      </w:r>
      <w:r>
        <w:rPr>
          <w:lang w:eastAsia="ko-KR"/>
          <w:rFonts w:ascii="함초롬바탕" w:eastAsia="함초롬바탕" w:hAnsi="함초롬바탕" w:cs="함초롬바탕" w:hint="eastAsia"/>
          <w:sz w:val="12"/>
          <w:szCs w:val="12"/>
          <w:u w:color="auto"/>
        </w:rPr>
        <w:t xml:space="preserve"> </w:t>
      </w:r>
    </w:p>
    <w:p>
      <w:pPr>
        <w:pStyle w:val="BCAuthorAddress"/>
        <w:rPr>
          <w:rFonts w:ascii="함초롬바탕" w:eastAsia="함초롬바탕" w:hAnsi="함초롬바탕" w:cs="함초롬바탕" w:hint="default"/>
          <w:u w:color="auto"/>
        </w:rPr>
      </w:pPr>
      <w:r>
        <w:rPr>
          <w:lang w:eastAsia="ko-KR"/>
          <w:rFonts w:ascii="함초롬바탕" w:eastAsia="함초롬바탕" w:hAnsi="함초롬바탕" w:cs="함초롬바탕" w:hint="eastAsia"/>
          <w:b/>
          <w:bCs/>
          <w:u w:color="auto"/>
          <w:rtl w:val="off"/>
        </w:rPr>
        <w:t>금호고등학교</w:t>
      </w:r>
    </w:p>
    <w:p>
      <w:pPr>
        <w:pStyle w:val="BIEmailAddress"/>
        <w:rPr>
          <w:lang w:eastAsia="ko-KR"/>
          <w:rFonts w:ascii="함초롬바탕" w:eastAsia="함초롬바탕" w:hAnsi="함초롬바탕" w:cs="함초롬바탕" w:hint="default"/>
          <w:u w:color="auto"/>
        </w:rPr>
      </w:pPr>
    </w:p>
    <w:p>
      <w:pPr>
        <w:pStyle w:val="BDAbstract"/>
        <w:jc w:val="both"/>
        <w:rPr>
          <w:lang w:eastAsia="ko-KR"/>
          <w:rFonts w:ascii="함초롬바탕" w:eastAsia="함초롬바탕" w:hAnsi="함초롬바탕" w:cs="함초롬바탕"/>
          <w:sz w:val="18"/>
          <w:szCs w:val="18"/>
          <w:u w:color="auto"/>
        </w:rPr>
      </w:pPr>
      <w:r>
        <w:rPr>
          <w:lang w:eastAsia="ko-KR"/>
          <w:rFonts w:ascii="함초롬바탕" w:eastAsia="함초롬바탕" w:hAnsi="함초롬바탕" w:cs="함초롬바탕"/>
          <w:sz w:val="18"/>
          <w:szCs w:val="18"/>
          <w:u w:color="auto"/>
          <w:rtl w:val="off"/>
        </w:rPr>
        <w:t>본 연구는 이산화 티타늄(TiO₂) 광촉매를 이용한 석유계 유기 오염물질의 분해 과정에서 생성될 수 있는 수소의 활용 가능성을 확인하고, 이를 수소 연료 전지의 구동과 연계할 수 있는지 평가하는 데 목적이 있다. 대표적인 방향족 탄화수소인 톨루엔(C₆H₅CH₃)을 분해 대상으로 선정하여, TiO₂를 부직포에 코팅한 광촉매를 제작한 후 UV LED(0.5 W, 395 nm)를 이용해 최대 30분간 광분해 반응을 유도하였다. 반응 전후의 질량 변화를 통해 톨루엔의 잔류량을 측정한 결과, 시간 증가에 따라 일관된 감소가 관찰되어 TiO₂ 기반 광촉매에 의한 유의미한 분해가 이루어짐을 확인하였다. 그러나 반응 과정에서 생성되는 수소를 용존 수소 측정기와 수소 연료 전지 키트를 통해 검출·활용하려는 시도에서는 수소가 정량적으로 검출되지 않았으며 연료 전지 또한 구동되지 않았다. 이는 광원의 파장 조건, 반응계 내부 산소 존재, 전자-정공 재결합 및 산소 환원 반응 우세 등으로 인해 실제 수소 생성량이 극히 미량에 그쳤기 때문으로 판단된다. 본 연구는 TiO₂ 광촉매가 톨루엔과 같은 난분해성 유기 오염물질의 환경적 무해화에는 효과적이나, 동일 조건에서 생성되는 수소를 차세대 에너지원으로 활용하기에는 아직 기술적·효율적 한계가 크다는 점을 보여준다. 향후에는 무산소 환경, 보조 촉매(Pt 등), 더 짧은 파장의 광원 적용 등을 통해 수소 생성 효율을 개선할 수 있을 것으로 기대된다.</w:t>
      </w:r>
    </w:p>
    <w:p>
      <w:pPr>
        <w:pStyle w:val="SectionTitle"/>
        <w:rPr>
          <w:rFonts w:ascii="바탕" w:hAnsi="바탕"/>
        </w:rPr>
      </w:pPr>
      <w:r>
        <w:rPr>
          <w:lang w:eastAsia="ko-KR"/>
          <w:rFonts w:ascii="함초롬바탕" w:eastAsia="함초롬바탕" w:hAnsi="함초롬바탕" w:cs="함초롬바탕"/>
          <w:b/>
          <w:bCs/>
          <w:u w:color="auto"/>
          <w:rtl w:val="off"/>
        </w:rPr>
        <w:t xml:space="preserve">Ⅰ. </w:t>
      </w:r>
      <w:r>
        <w:rPr>
          <w:rFonts w:ascii="함초롬바탕" w:eastAsia="함초롬바탕" w:hAnsi="함초롬바탕" w:cs="함초롬바탕"/>
          <w:b/>
          <w:bCs/>
          <w:u w:color="auto"/>
        </w:rPr>
        <w:t>서론</w:t>
      </w:r>
      <w:r>
        <w:rPr>
          <w:rFonts w:ascii="함초롬바탕" w:eastAsia="함초롬바탕" w:hAnsi="함초롬바탕" w:cs="함초롬바탕" w:hint="eastAsia"/>
          <w:b/>
          <w:bCs/>
          <w:u w:color="auto"/>
        </w:rPr>
        <w:t xml:space="preserve"> </w:t>
      </w:r>
      <w:r>
        <w:rPr>
          <w:rFonts w:ascii="함초롬바탕" w:eastAsia="함초롬바탕" w:hAnsi="함초롬바탕" w:cs="함초롬바탕" w:hint="eastAsia"/>
          <w:b/>
          <w:bCs/>
          <w:u w:color="auto"/>
        </w:rPr>
        <w:t>(</w:t>
      </w:r>
      <w:r>
        <w:rPr>
          <w:rFonts w:ascii="함초롬바탕" w:eastAsia="함초롬바탕" w:hAnsi="함초롬바탕" w:cs="함초롬바탕"/>
          <w:b/>
          <w:bCs/>
          <w:u w:color="auto"/>
        </w:rPr>
        <w:t xml:space="preserve"> </w:t>
      </w:r>
      <w:r>
        <w:rPr>
          <w:rFonts w:ascii="함초롬바탕" w:eastAsia="함초롬바탕" w:hAnsi="함초롬바탕" w:cs="함초롬바탕"/>
          <w:b/>
          <w:bCs/>
          <w:u w:color="auto"/>
        </w:rPr>
        <w:t>Introduction</w:t>
      </w:r>
      <w:r>
        <w:rPr>
          <w:rFonts w:ascii="함초롬바탕" w:eastAsia="함초롬바탕" w:hAnsi="함초롬바탕" w:cs="함초롬바탕"/>
          <w:b/>
          <w:bCs/>
          <w:u w:color="auto"/>
        </w:rPr>
        <w:t xml:space="preserve"> </w:t>
      </w:r>
      <w:r>
        <w:rPr>
          <w:rFonts w:ascii="함초롬바탕" w:eastAsia="함초롬바탕" w:hAnsi="함초롬바탕" w:cs="함초롬바탕"/>
          <w:b/>
          <w:bCs/>
          <w:u w:color="auto"/>
        </w:rPr>
        <w:t>)</w:t>
      </w:r>
    </w:p>
    <w:p>
      <w:pPr>
        <w:pStyle w:val="b0"/>
        <w:widowControl w:val="off"/>
        <w:spacing w:line="240"/>
        <w:rPr>
          <w:strike w:val="off"/>
          <w:sz w:val="16"/>
          <w:szCs w:val="16"/>
        </w:rPr>
      </w:pPr>
      <w:r>
        <w:rPr>
          <w:lang w:eastAsia="ko-KR"/>
          <w:strike w:val="off"/>
          <w:sz w:val="16"/>
          <w:szCs w:val="16"/>
          <w:rtl w:val="off"/>
        </w:rPr>
        <w:t xml:space="preserve"> </w:t>
      </w:r>
      <w:r>
        <w:rPr>
          <w:strike w:val="off"/>
          <w:sz w:val="16"/>
          <w:szCs w:val="16"/>
        </w:rPr>
        <w:t>산업 혁명 이후 개발된 화학 공업 기술은 현대 사회를 급속하게 성장하게 하였다. 하지만 역설적으로 이 기술을 통한 생산 과정 중에 만들어진 부산물 중 환경을 오염시키는 물질은 현대 사회에 막대한 피해를 주고 있다. 산업 활동의 부산물로 생성되는 페놀, 톨루엔, 석유 기반 화합물 등은 식수와 토양, 대기로 침투하여 생태계를 교란시키고 인간에게 직접적인 피해를 입히기도 한다. 이런 이유로 다양한 분야에서 발생하는 오염 물질을 정화하거나 제거하는 방법에 대한 연구가 활발하게 이루어지고 있다. 그러나, 아직까지 오염 물질을 정화하는 대부분의 방법들이 비효율적이고 비경제적이라는 한계를 가지고 있으며 정화 과정에서 오히려 새로운 오염 물질들이 더욱 축적되는 부작용도 발생하고 있다.</w:t>
      </w:r>
    </w:p>
    <w:p>
      <w:pPr>
        <w:pStyle w:val="b0"/>
        <w:widowControl w:val="off"/>
        <w:spacing w:line="240"/>
        <w:rPr>
          <w:strike w:val="off"/>
          <w:sz w:val="16"/>
          <w:szCs w:val="16"/>
        </w:rPr>
      </w:pPr>
      <w:r>
        <w:rPr>
          <w:strike w:val="off"/>
          <w:sz w:val="16"/>
          <w:szCs w:val="16"/>
        </w:rPr>
        <w:t xml:space="preserve"> 이러한 상황 속, 광촉매 반응은 에너지를 인공적으로 투입하지 않고 오랫동안 재사용 가능하다는 특성을 가져 미래의 오염 물질 분해 방법으로 각광받고 있다. 광촉매란, 물질 자체적으로 반응 전후의 변화는 없지만, 빛을 흡수하여 표면에서의 반응 속도를 변화시키거나 반응 효율을 개선함으로써 분해 작용을 촉진하는 물질을 말한다. 광촉매의 작용 원리는 크게 전자-정공 쌍 형성, 라디칼 생성, 그리고 물질 분해의 세 단계로 이루어진다. 광촉매 소자가 자외선을 흡수하였을 때 나타나는 전자-정공 쌍은 원자가대(Valence band)의 전자가 전도대(Conduction Band)로 들뜨며 형성된다. 정공(h</w:t>
      </w:r>
      <w:r>
        <w:rPr>
          <w:rFonts w:ascii="굴림"/>
          <w:strike w:val="off"/>
          <w:sz w:val="16"/>
          <w:szCs w:val="16"/>
        </w:rPr>
        <w:t>⁺</w:t>
      </w:r>
      <w:r>
        <w:rPr>
          <w:rFonts w:ascii="굴림"/>
          <w:strike w:val="off"/>
          <w:sz w:val="16"/>
          <w:szCs w:val="16"/>
        </w:rPr>
        <w:t>)</w:t>
      </w:r>
      <w:r>
        <w:rPr>
          <w:strike w:val="off"/>
          <w:sz w:val="16"/>
          <w:szCs w:val="16"/>
        </w:rPr>
        <w:t>은 물이나 OH</w:t>
      </w:r>
      <w:r>
        <w:rPr>
          <w:strike w:val="off"/>
          <w:sz w:val="16"/>
          <w:szCs w:val="16"/>
        </w:rPr>
        <w:t>⁻</w:t>
      </w:r>
      <w:r>
        <w:rPr>
          <w:strike w:val="off"/>
          <w:sz w:val="16"/>
          <w:szCs w:val="16"/>
        </w:rPr>
        <w:t xml:space="preserve"> 과 반응하여 OH 라디칼(</w:t>
      </w:r>
      <w:r>
        <w:rPr>
          <w:strike w:val="off"/>
          <w:sz w:val="16"/>
          <w:szCs w:val="16"/>
        </w:rPr>
        <w:t>•</w:t>
      </w:r>
      <w:r>
        <w:rPr>
          <w:strike w:val="off"/>
          <w:sz w:val="16"/>
          <w:szCs w:val="16"/>
        </w:rPr>
        <w:t>OH)을 생성하고, 전자(e</w:t>
      </w:r>
      <w:r>
        <w:rPr>
          <w:strike w:val="off"/>
          <w:sz w:val="16"/>
          <w:szCs w:val="16"/>
        </w:rPr>
        <w:t>⁻</w:t>
      </w:r>
      <w:r>
        <w:rPr>
          <w:strike w:val="off"/>
          <w:sz w:val="16"/>
          <w:szCs w:val="16"/>
        </w:rPr>
        <w:t>)는 수중의 산소와 반응하여 슈퍼옥사이드 산소 라디칼(</w:t>
      </w:r>
      <w:r>
        <w:rPr>
          <w:strike w:val="off"/>
          <w:sz w:val="16"/>
          <w:szCs w:val="16"/>
        </w:rPr>
        <w:t>•</w:t>
      </w:r>
      <w:r>
        <w:rPr>
          <w:strike w:val="off"/>
          <w:sz w:val="16"/>
          <w:szCs w:val="16"/>
        </w:rPr>
        <w:t>O</w:t>
      </w:r>
      <w:r>
        <w:rPr>
          <w:strike w:val="off"/>
          <w:sz w:val="16"/>
          <w:szCs w:val="16"/>
        </w:rPr>
        <w:t>₂⁻</w:t>
      </w:r>
      <w:r>
        <w:rPr>
          <w:strike w:val="off"/>
          <w:sz w:val="16"/>
          <w:szCs w:val="16"/>
        </w:rPr>
        <w:t xml:space="preserve">)을 형성하여 더 많은 OH 라디칼을 생성하게 된다. 이 라디칼은 산소와 다르게 더더욱 격렬하고 빠른 산화 반응을 광촉매 표면에서 촉진시켜 오염 물질을 비교적으로 무해한 물이나 이산화탄소, 수소 등으로 분해한다. </w:t>
      </w:r>
    </w:p>
    <w:p>
      <w:pPr>
        <w:pStyle w:val="b0"/>
        <w:widowControl w:val="off"/>
        <w:spacing w:line="240"/>
        <w:rPr>
          <w:rFonts w:ascii="함초롬바탕" w:eastAsia="함초롬바탕" w:hAnsi="함초롬바탕" w:cs="함초롬바탕" w:hint="default"/>
          <w:i w:val="0"/>
          <w:iCs w:val="0"/>
          <w:strike w:val="off"/>
          <w:sz w:val="16"/>
          <w:szCs w:val="16"/>
          <w:u w:val="none" w:color="auto"/>
        </w:rPr>
      </w:pPr>
      <w:r>
        <w:rPr>
          <w:lang w:eastAsia="ko-KR"/>
          <w:rFonts w:ascii="함초롬바탕" w:eastAsia="함초롬바탕" w:hAnsi="함초롬바탕" w:cs="함초롬바탕" w:hint="default"/>
          <w:i w:val="0"/>
          <w:iCs w:val="0"/>
          <w:strike w:val="off"/>
          <w:sz w:val="16"/>
          <w:szCs w:val="16"/>
          <w:u w:val="none" w:color="auto"/>
          <w:rtl w:val="off"/>
        </w:rPr>
        <w:t xml:space="preserve"> </w:t>
      </w:r>
      <w:r>
        <w:rPr>
          <w:rFonts w:ascii="함초롬바탕" w:eastAsia="함초롬바탕" w:hAnsi="함초롬바탕" w:cs="함초롬바탕" w:hint="default"/>
          <w:i w:val="0"/>
          <w:iCs w:val="0"/>
          <w:strike w:val="off"/>
          <w:sz w:val="16"/>
          <w:szCs w:val="16"/>
          <w:u w:val="none" w:color="auto"/>
        </w:rPr>
        <w:t>현재 널리 쓰이는 광촉매로는 ZnO, CdS, ZrO</w:t>
      </w:r>
      <w:r>
        <w:rPr>
          <w:rFonts w:ascii="함초롬바탕" w:eastAsia="함초롬바탕" w:hAnsi="함초롬바탕" w:cs="함초롬바탕" w:hint="default"/>
          <w:i w:val="0"/>
          <w:iCs w:val="0"/>
          <w:strike w:val="off"/>
          <w:sz w:val="16"/>
          <w:szCs w:val="16"/>
          <w:u w:val="none" w:color="auto"/>
        </w:rPr>
        <w:t>₂</w:t>
      </w:r>
      <w:r>
        <w:rPr>
          <w:rFonts w:ascii="함초롬바탕" w:eastAsia="함초롬바탕" w:hAnsi="함초롬바탕" w:cs="함초롬바탕" w:hint="default"/>
          <w:i w:val="0"/>
          <w:iCs w:val="0"/>
          <w:strike w:val="off"/>
          <w:sz w:val="16"/>
          <w:szCs w:val="16"/>
          <w:u w:val="none" w:color="auto"/>
        </w:rPr>
        <w:t>, WO</w:t>
      </w:r>
      <w:r>
        <w:rPr>
          <w:rFonts w:ascii="함초롬바탕" w:eastAsia="함초롬바탕" w:hAnsi="함초롬바탕" w:cs="함초롬바탕" w:hint="default"/>
          <w:i w:val="0"/>
          <w:iCs w:val="0"/>
          <w:strike w:val="off"/>
          <w:sz w:val="16"/>
          <w:szCs w:val="16"/>
          <w:u w:val="none" w:color="auto"/>
        </w:rPr>
        <w:t>₃</w:t>
      </w:r>
      <w:r>
        <w:rPr>
          <w:rFonts w:ascii="함초롬바탕" w:eastAsia="함초롬바탕" w:hAnsi="함초롬바탕" w:cs="함초롬바탕" w:hint="default"/>
          <w:i w:val="0"/>
          <w:iCs w:val="0"/>
          <w:strike w:val="off"/>
          <w:sz w:val="16"/>
          <w:szCs w:val="16"/>
          <w:u w:val="none" w:color="auto"/>
        </w:rPr>
        <w:t>, TiO</w:t>
      </w:r>
      <w:r>
        <w:rPr>
          <w:rFonts w:ascii="함초롬바탕" w:eastAsia="함초롬바탕" w:hAnsi="함초롬바탕" w:cs="함초롬바탕" w:hint="default"/>
          <w:i w:val="0"/>
          <w:iCs w:val="0"/>
          <w:strike w:val="off"/>
          <w:sz w:val="16"/>
          <w:szCs w:val="16"/>
          <w:u w:val="none" w:color="auto"/>
        </w:rPr>
        <w:t>₂</w:t>
      </w:r>
      <w:r>
        <w:rPr>
          <w:rFonts w:ascii="함초롬바탕" w:eastAsia="함초롬바탕" w:hAnsi="함초롬바탕" w:cs="함초롬바탕" w:hint="default"/>
          <w:i w:val="0"/>
          <w:iCs w:val="0"/>
          <w:strike w:val="off"/>
          <w:sz w:val="16"/>
          <w:szCs w:val="16"/>
          <w:u w:val="none" w:color="auto"/>
        </w:rPr>
        <w:t xml:space="preserve"> 등이 존재하며, 대부분 오염 물질 분해, 살균 및 소독 작용 등을 담당하고 있다. 이 중 가장 낮은 독성과 높은 효율성과 지속성, 안정성 등의 특성을 지녀 가장 범용되는 물질로는 이산화 티타늄(TiO</w:t>
      </w:r>
      <w:r>
        <w:rPr>
          <w:rFonts w:ascii="함초롬바탕" w:eastAsia="함초롬바탕" w:hAnsi="함초롬바탕" w:cs="함초롬바탕" w:hint="default"/>
          <w:i w:val="0"/>
          <w:iCs w:val="0"/>
          <w:strike w:val="off"/>
          <w:sz w:val="16"/>
          <w:szCs w:val="16"/>
          <w:u w:val="none" w:color="auto"/>
        </w:rPr>
        <w:t>₂</w:t>
      </w:r>
      <w:r>
        <w:rPr>
          <w:rFonts w:ascii="함초롬바탕" w:eastAsia="함초롬바탕" w:hAnsi="함초롬바탕" w:cs="함초롬바탕" w:hint="default"/>
          <w:i w:val="0"/>
          <w:iCs w:val="0"/>
          <w:strike w:val="off"/>
          <w:sz w:val="16"/>
          <w:szCs w:val="16"/>
          <w:u w:val="none" w:color="auto"/>
        </w:rPr>
        <w:t>)이 있다. TiO</w:t>
      </w:r>
      <w:r>
        <w:rPr>
          <w:rFonts w:ascii="함초롬바탕" w:eastAsia="함초롬바탕" w:hAnsi="함초롬바탕" w:cs="함초롬바탕" w:hint="default"/>
          <w:i w:val="0"/>
          <w:iCs w:val="0"/>
          <w:strike w:val="off"/>
          <w:sz w:val="16"/>
          <w:szCs w:val="16"/>
          <w:u w:val="none" w:color="auto"/>
        </w:rPr>
        <w:t>₂는</w:t>
      </w:r>
      <w:r>
        <w:rPr>
          <w:rFonts w:ascii="함초롬바탕" w:eastAsia="함초롬바탕" w:hAnsi="함초롬바탕" w:cs="함초롬바탕" w:hint="default"/>
          <w:i w:val="0"/>
          <w:iCs w:val="0"/>
          <w:strike w:val="off"/>
          <w:sz w:val="16"/>
          <w:szCs w:val="16"/>
          <w:u w:val="none" w:color="auto"/>
        </w:rPr>
        <w:t xml:space="preserve"> 광촉매 반응, 즉 빛에너지(특히, 자외선 범위의 빛에너지)를 흡수하여 전자-정공 쌍을 생성하고 이를 통해 표면에 부착된 물질을 산화하는 작용을 한다.</w:t>
      </w:r>
    </w:p>
    <w:p>
      <w:pPr>
        <w:pStyle w:val="b0"/>
        <w:widowControl w:val="off"/>
        <w:spacing w:line="240"/>
        <w:rPr>
          <w:rFonts w:ascii="함초롬바탕" w:eastAsia="함초롬바탕" w:hAnsi="함초롬바탕" w:cs="함초롬바탕" w:hint="default"/>
          <w:i w:val="0"/>
          <w:iCs w:val="0"/>
          <w:strike w:val="off"/>
          <w:sz w:val="16"/>
          <w:szCs w:val="16"/>
          <w:u w:val="none" w:color="auto"/>
        </w:rPr>
      </w:pPr>
      <w:r>
        <w:rPr>
          <w:rFonts w:ascii="함초롬바탕" w:eastAsia="함초롬바탕" w:hAnsi="함초롬바탕" w:cs="함초롬바탕" w:hint="default"/>
          <w:i w:val="0"/>
          <w:iCs w:val="0"/>
          <w:strike w:val="off"/>
          <w:sz w:val="16"/>
          <w:szCs w:val="16"/>
          <w:u w:val="none" w:color="auto"/>
        </w:rPr>
        <w:t xml:space="preserve"> 광촉매의 이 특성을 이용하여 오염물을 효율적으로 분해하려는 연구의 대명사로는 경북대학교 이기영 교수의 &lt;광 전기화학적 난분해성 유기 오염물 분해를 통한 수소 생성&gt;이 있다. 또한 POSTEC의 조강우 교수와 KIST의 연구팀과 협동한 결과인 ‘하수 분해 처리를 통한 수소 생산’을 찾을 수 있었다. 이 탐구 활동에서는 현재 가장 심각한 정도의 환경 오염을 초래하고 있는 석유계 탄소 화합물을 위 연구를 참고하여 분해하려고 하였다.</w:t>
      </w:r>
    </w:p>
    <w:p>
      <w:pPr>
        <w:pStyle w:val="TAMainText"/>
        <w:ind w:firstLine="0"/>
        <w:rPr>
          <w:lang w:eastAsia="ko-KR"/>
          <w:rFonts w:ascii="함초롬바탕" w:eastAsia="함초롬바탕" w:hAnsi="함초롬바탕" w:cs="함초롬바탕"/>
          <w:i w:val="0"/>
          <w:iCs w:val="0"/>
          <w:strike w:val="off"/>
          <w:sz w:val="16"/>
          <w:szCs w:val="16"/>
          <w:u w:val="none" w:color="auto"/>
        </w:rPr>
      </w:pPr>
      <w:r>
        <w:rPr>
          <w:lang w:eastAsia="ko-KR"/>
          <w:rFonts w:ascii="함초롬바탕" w:eastAsia="함초롬바탕" w:hAnsi="함초롬바탕" w:cs="함초롬바탕" w:hint="default"/>
          <w:i w:val="0"/>
          <w:iCs w:val="0"/>
          <w:strike w:val="off"/>
          <w:sz w:val="16"/>
          <w:szCs w:val="16"/>
          <w:u w:val="none" w:color="auto"/>
          <w:rtl w:val="off"/>
        </w:rPr>
        <w:t xml:space="preserve"> </w:t>
      </w:r>
      <w:r>
        <w:rPr>
          <w:rFonts w:ascii="함초롬바탕" w:eastAsia="함초롬바탕" w:hAnsi="함초롬바탕" w:cs="함초롬바탕" w:hint="default"/>
          <w:i w:val="0"/>
          <w:iCs w:val="0"/>
          <w:strike w:val="off"/>
          <w:sz w:val="16"/>
          <w:szCs w:val="16"/>
          <w:u w:val="none" w:color="auto"/>
        </w:rPr>
        <w:t xml:space="preserve"> 이 탐구에서 분해할 물질로 톨</w:t>
      </w:r>
      <w:r>
        <w:rPr>
          <w:rFonts w:ascii="함초롬바탕" w:eastAsia="함초롬바탕" w:hAnsi="함초롬바탕" w:cs="함초롬바탕"/>
          <w:i w:val="0"/>
          <w:iCs w:val="0"/>
          <w:strike w:val="off"/>
          <w:sz w:val="16"/>
          <w:szCs w:val="16"/>
          <w:u w:val="none" w:color="auto"/>
          <w:shd w:val="clear" w:color="000000" w:fill="FFFFFF"/>
        </w:rPr>
        <w:t>루엔(C</w:t>
      </w:r>
      <w:r>
        <w:rPr>
          <w:rFonts w:ascii="함초롬바탕" w:eastAsia="함초롬바탕" w:hAnsi="함초롬바탕" w:cs="함초롬바탕"/>
          <w:i w:val="0"/>
          <w:iCs w:val="0"/>
          <w:strike w:val="off"/>
          <w:sz w:val="16"/>
          <w:szCs w:val="16"/>
          <w:u w:val="none" w:color="auto"/>
          <w:shd w:val="clear" w:color="000000" w:fill="auto"/>
          <w:vertAlign w:val="subscript"/>
        </w:rPr>
        <w:t>6</w:t>
      </w:r>
      <w:r>
        <w:rPr>
          <w:rFonts w:ascii="함초롬바탕" w:eastAsia="함초롬바탕" w:hAnsi="함초롬바탕" w:cs="함초롬바탕"/>
          <w:i w:val="0"/>
          <w:iCs w:val="0"/>
          <w:strike w:val="off"/>
          <w:sz w:val="16"/>
          <w:szCs w:val="16"/>
          <w:u w:val="none" w:color="auto"/>
          <w:shd w:val="clear" w:color="000000" w:fill="FFFFFF"/>
        </w:rPr>
        <w:t>H</w:t>
      </w:r>
      <w:r>
        <w:rPr>
          <w:rFonts w:ascii="함초롬바탕" w:eastAsia="함초롬바탕" w:hAnsi="함초롬바탕" w:cs="함초롬바탕"/>
          <w:i w:val="0"/>
          <w:iCs w:val="0"/>
          <w:strike w:val="off"/>
          <w:sz w:val="16"/>
          <w:szCs w:val="16"/>
          <w:u w:val="none" w:color="auto"/>
          <w:shd w:val="clear" w:color="000000" w:fill="auto"/>
          <w:vertAlign w:val="subscript"/>
        </w:rPr>
        <w:t>5</w:t>
      </w:r>
      <w:r>
        <w:rPr>
          <w:rFonts w:ascii="함초롬바탕" w:eastAsia="함초롬바탕" w:hAnsi="함초롬바탕" w:cs="함초롬바탕"/>
          <w:i w:val="0"/>
          <w:iCs w:val="0"/>
          <w:strike w:val="off"/>
          <w:sz w:val="16"/>
          <w:szCs w:val="16"/>
          <w:u w:val="none" w:color="auto"/>
          <w:shd w:val="clear" w:color="000000" w:fill="FFFFFF"/>
        </w:rPr>
        <w:t>CH</w:t>
      </w:r>
      <w:r>
        <w:rPr>
          <w:rFonts w:ascii="함초롬바탕" w:eastAsia="함초롬바탕" w:hAnsi="함초롬바탕" w:cs="함초롬바탕"/>
          <w:i w:val="0"/>
          <w:iCs w:val="0"/>
          <w:strike w:val="off"/>
          <w:sz w:val="16"/>
          <w:szCs w:val="16"/>
          <w:u w:val="none" w:color="auto"/>
          <w:shd w:val="clear" w:color="000000" w:fill="auto"/>
          <w:vertAlign w:val="subscript"/>
        </w:rPr>
        <w:t>3</w:t>
      </w:r>
      <w:r>
        <w:rPr>
          <w:rFonts w:ascii="함초롬바탕" w:eastAsia="함초롬바탕" w:hAnsi="함초롬바탕" w:cs="함초롬바탕"/>
          <w:i w:val="0"/>
          <w:iCs w:val="0"/>
          <w:strike w:val="off"/>
          <w:sz w:val="16"/>
          <w:szCs w:val="16"/>
          <w:u w:val="none" w:color="auto"/>
          <w:shd w:val="clear" w:color="000000" w:fill="FFFFFF"/>
        </w:rPr>
        <w:t xml:space="preserve">)을 선정하였다. 톨루엔은 </w:t>
      </w:r>
      <w:r>
        <w:rPr>
          <w:rFonts w:ascii="함초롬바탕" w:eastAsia="함초롬바탕" w:hAnsi="함초롬바탕" w:cs="함초롬바탕" w:hint="default"/>
          <w:i w:val="0"/>
          <w:iCs w:val="0"/>
          <w:strike w:val="off"/>
          <w:sz w:val="16"/>
          <w:szCs w:val="16"/>
          <w:u w:val="none" w:color="auto"/>
        </w:rPr>
        <w:t>석유정제나 석유화학 분야의 화학산업에서 널리 쓰이는 기본 방향족 물질이며, 중화학 공업 부문에서 페인트, 유기용매, 접착제 등으로 쓰인다. 톨루엔은 쉽게 휘발하여 유독 및 인화성 증기를 생성하고, 생명체 내에 축적될 시 만성적인 신경 및 생식 문제를 초래할 수 있다. 이 탐구 활동에서는 톨루엔의 범용성과 유독성에 주목하여, 이를 분해하려고 시도하였다. 또한 반응 후 생성되는 부산물인 수소를 이용하여 수소 연료 전지를 가동할 수 있는지 실험을 통해 확인하려고 한다. 이를 통해 위 과정에서 광촉매 반응의 기본적 원리와, 현존 기술의 효율성 개선 방안 및 적용 방법을 탐구해보려 한다.</w:t>
      </w:r>
    </w:p>
    <w:p>
      <w:pPr>
        <w:pStyle w:val="TAMainText"/>
        <w:rPr>
          <w:lang w:eastAsia="ko-KR"/>
          <w:rFonts w:ascii="바탕" w:hAnsi="바탕"/>
          <w:sz w:val="20"/>
        </w:rPr>
      </w:pPr>
    </w:p>
    <w:p>
      <w:pPr>
        <w:pStyle w:val="SectionTitle"/>
        <w:rPr>
          <w:rFonts w:ascii="함초롬바탕" w:eastAsia="함초롬바탕" w:hAnsi="함초롬바탕" w:cs="함초롬바탕"/>
          <w:b/>
          <w:bCs/>
          <w:u w:color="auto"/>
        </w:rPr>
      </w:pPr>
      <w:r>
        <w:rPr>
          <w:lang w:eastAsia="ko-KR"/>
          <w:rFonts w:ascii="함초롬바탕" w:eastAsia="함초롬바탕" w:hAnsi="함초롬바탕" w:cs="함초롬바탕" w:hint="eastAsia"/>
          <w:b/>
          <w:bCs/>
          <w:u w:color="auto"/>
          <w:rtl w:val="off"/>
        </w:rPr>
        <w:t>Ⅱ. 본론</w:t>
      </w:r>
    </w:p>
    <w:p>
      <w:pPr>
        <w:pStyle w:val="TAMainText"/>
        <w:rPr>
          <w:lang w:eastAsia="ko-KR"/>
          <w:rFonts w:ascii="바탕" w:hAnsi="바탕" w:hint="eastAsia"/>
          <w:b/>
          <w:bCs/>
          <w:sz w:val="20"/>
          <w:rtl w:val="off"/>
        </w:rPr>
      </w:pPr>
      <w:r>
        <w:rPr>
          <w:lang w:eastAsia="ko-KR"/>
          <w:rFonts w:ascii="함초롬바탕" w:eastAsia="함초롬바탕" w:hAnsi="함초롬바탕" w:cs="함초롬바탕" w:hint="eastAsia"/>
          <w:b/>
          <w:bCs/>
          <w:sz w:val="20"/>
          <w:u w:color="auto"/>
          <w:rtl w:val="off"/>
        </w:rPr>
        <w:t>2.</w:t>
      </w:r>
      <w:r>
        <w:rPr>
          <w:lang w:eastAsia="ko-KR"/>
          <w:rFonts w:ascii="함초롬바탕" w:eastAsia="함초롬바탕" w:hAnsi="함초롬바탕" w:cs="함초롬바탕" w:hint="eastAsia"/>
          <w:b/>
          <w:bCs/>
          <w:sz w:val="20"/>
          <w:u w:color="auto"/>
        </w:rPr>
        <w:t>1</w:t>
      </w:r>
      <w:r>
        <w:rPr>
          <w:lang w:eastAsia="ko-KR"/>
          <w:rFonts w:ascii="함초롬바탕" w:eastAsia="함초롬바탕" w:hAnsi="함초롬바탕" w:cs="함초롬바탕"/>
          <w:b/>
          <w:bCs/>
          <w:sz w:val="20"/>
          <w:u w:color="auto"/>
        </w:rPr>
        <w:t>.</w:t>
      </w:r>
      <w:r>
        <w:rPr>
          <w:lang w:eastAsia="ko-KR"/>
          <w:rFonts w:ascii="함초롬바탕" w:eastAsia="함초롬바탕" w:hAnsi="함초롬바탕" w:cs="함초롬바탕"/>
          <w:b/>
          <w:bCs/>
          <w:sz w:val="20"/>
          <w:u w:color="auto"/>
          <w:rtl w:val="off"/>
        </w:rPr>
        <w:t xml:space="preserve"> 실험 방법</w:t>
      </w:r>
    </w:p>
    <w:p>
      <w:pPr>
        <w:pStyle w:val="b0"/>
        <w:widowControl w:val="off"/>
        <w:wordWrap/>
        <w:jc w:val="left"/>
        <w:spacing w:line="240"/>
        <w:rPr>
          <w:b/>
          <w:strike w:val="off"/>
          <w:color w:val="000000"/>
          <w:sz w:val="16"/>
          <w:szCs w:val="16"/>
        </w:rPr>
      </w:pPr>
      <w:r>
        <w:rPr>
          <w:b/>
          <w:bCs/>
          <w:strike w:val="off"/>
          <w:sz w:val="18"/>
          <w:szCs w:val="18"/>
        </w:rPr>
        <w:t>1. 촉매 제조</w:t>
      </w:r>
    </w:p>
    <w:p>
      <w:pPr>
        <w:pStyle w:val="b0"/>
        <w:widowControl w:val="off"/>
        <w:spacing w:line="240"/>
        <w:rPr>
          <w:strike w:val="off"/>
          <w:sz w:val="16"/>
          <w:szCs w:val="16"/>
        </w:rPr>
      </w:pPr>
      <w:r>
        <w:rPr>
          <w:strike w:val="off"/>
          <w:sz w:val="16"/>
          <w:szCs w:val="16"/>
        </w:rPr>
        <w:drawing>
          <wp:anchor distT="0" distB="0" distL="114300" distR="114300" behindDoc="0" locked="0" layoutInCell="1" simplePos="0" relativeHeight="251660288" allowOverlap="1" hidden="0">
            <wp:simplePos x="0" y="0"/>
            <wp:positionH relativeFrom="column">
              <wp:posOffset>60960</wp:posOffset>
            </wp:positionH>
            <wp:positionV relativeFrom="paragraph">
              <wp:posOffset>972567</wp:posOffset>
            </wp:positionV>
            <wp:extent cx="2121661" cy="1309750"/>
            <wp:effectExtent l="0" t="0" r="0" b="0"/>
            <wp:wrapTopAndBottom/>
            <wp:docPr id="1025" name="shape1025"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2121661" cy="1309750"/>
                    </a:xfrm>
                    <a:prstGeom prst="rect"/>
                  </pic:spPr>
                </pic:pic>
              </a:graphicData>
            </a:graphic>
          </wp:anchor>
        </w:drawing>
      </w:r>
      <w:r>
        <w:rPr>
          <w:lang w:eastAsia="ko-KR"/>
          <w:strike w:val="off"/>
          <w:sz w:val="16"/>
          <w:szCs w:val="16"/>
          <w:rtl w:val="off"/>
        </w:rPr>
        <w:t xml:space="preserve"> </w:t>
      </w:r>
      <w:r>
        <w:rPr>
          <w:strike w:val="off"/>
          <w:sz w:val="16"/>
          <w:szCs w:val="16"/>
        </w:rPr>
        <w:t xml:space="preserve">물풀과 이산화 티타늄을 1:1.2(무게비) 비율로 섞어 코팅액을 제조한다. 제조된 코팅액을 부직포 표면에 일정하게 코팅되도록 붓을 사용해 코팅한다(Fig. 1A). 코팅된 부직포를 실험 용기에 넣고 바닥에 고정이 된 상태에서 드라이기를 사용해서 10분 내외로 건조하고, 부직포 표면의 코팅액이 경화된 것을 확인한다(Fig. 1B). </w:t>
      </w:r>
    </w:p>
    <w:p>
      <w:pPr>
        <w:pStyle w:val="b0"/>
        <w:widowControl w:val="off"/>
        <w:wordWrap/>
        <w:jc w:val="left"/>
        <w:spacing w:line="240"/>
        <w:rPr>
          <w:b/>
          <w:strike w:val="off"/>
          <w:color w:val="000000"/>
          <w:sz w:val="16"/>
          <w:szCs w:val="16"/>
        </w:rPr>
      </w:pPr>
      <w:r>
        <w:rPr>
          <w:b/>
          <w:strike w:val="off"/>
          <w:sz w:val="16"/>
          <w:szCs w:val="16"/>
        </w:rPr>
        <w:t>Figure 1. 촉매 제조 과정.</w:t>
      </w:r>
      <w:r>
        <w:rPr>
          <w:strike w:val="off"/>
          <w:sz w:val="16"/>
          <w:szCs w:val="16"/>
        </w:rPr>
        <w:t xml:space="preserve"> A: 물풀과 이산화 티타늄 1:1.2(무게비)를 혼합한 후 준비된 부직포에 붓을 사용하여 2-3회에 걸쳐 균일한 두께로 코팅한다; B: 광촉매가 코팅된 부직포를 실험 용기 내의 벽면에 고정하여 준비한다.</w:t>
      </w:r>
    </w:p>
    <w:p>
      <w:pPr>
        <w:pStyle w:val="b0"/>
        <w:widowControl w:val="off"/>
        <w:wordWrap/>
        <w:jc w:val="left"/>
        <w:spacing w:line="240"/>
        <w:rPr>
          <w:strike w:val="off"/>
          <w:sz w:val="16"/>
          <w:szCs w:val="16"/>
        </w:rPr>
      </w:pPr>
      <w:r>
        <w:rPr>
          <w:b/>
          <w:bCs/>
          <w:strike w:val="off"/>
          <w:sz w:val="18"/>
          <w:szCs w:val="18"/>
        </w:rPr>
        <w:t>2. TiO</w:t>
      </w:r>
      <w:r>
        <w:rPr>
          <w:b/>
          <w:bCs/>
          <w:strike w:val="off"/>
          <w:sz w:val="18"/>
          <w:szCs w:val="18"/>
        </w:rPr>
        <w:t>₂의</w:t>
      </w:r>
      <w:r>
        <w:rPr>
          <w:b/>
          <w:bCs/>
          <w:strike w:val="off"/>
          <w:sz w:val="18"/>
          <w:szCs w:val="18"/>
        </w:rPr>
        <w:t xml:space="preserve"> 톨루엔 분해실험</w:t>
      </w:r>
    </w:p>
    <w:p>
      <w:pPr>
        <w:pStyle w:val="b0"/>
        <w:widowControl w:val="off"/>
        <w:spacing w:line="240"/>
        <w:rPr>
          <w:lang w:eastAsia="ko-KR"/>
          <w:rFonts w:hint="eastAsia"/>
          <w:strike w:val="off"/>
          <w:sz w:val="16"/>
          <w:szCs w:val="16"/>
          <w:rtl w:val="off"/>
        </w:rPr>
      </w:pPr>
      <w:r>
        <w:rPr>
          <w:lang w:eastAsia="ko-KR"/>
          <w:strike w:val="off"/>
          <w:sz w:val="16"/>
          <w:szCs w:val="16"/>
          <w:rtl w:val="off"/>
        </w:rPr>
        <w:t xml:space="preserve"> </w:t>
      </w:r>
      <w:r>
        <w:rPr>
          <w:strike w:val="off"/>
          <w:sz w:val="16"/>
          <w:szCs w:val="16"/>
        </w:rPr>
        <w:t>실험 용기 하단에 고정된 광촉매 코팅 부직포 위에 톨루엔 10</w:t>
      </w:r>
      <w:r>
        <w:rPr>
          <w:strike w:val="off"/>
          <w:sz w:val="16"/>
          <w:szCs w:val="16"/>
        </w:rPr>
        <w:t>㎖을</w:t>
      </w:r>
      <w:r>
        <w:rPr>
          <w:strike w:val="off"/>
          <w:sz w:val="16"/>
          <w:szCs w:val="16"/>
        </w:rPr>
        <w:t xml:space="preserve"> 스포이드를 이용하여 부직포가 충분히 젖도록 상방에서 떨어트렸다. 상온 23.7도에서 젖은 부직포가 들어있는 실험 용기의 뚜껑을 밀폐한 후, 준비한 UV램프(UV LED, 0.5W, 395</w:t>
      </w:r>
      <w:r>
        <w:rPr>
          <w:strike w:val="off"/>
          <w:sz w:val="16"/>
          <w:szCs w:val="16"/>
        </w:rPr>
        <w:t>㎚</w:t>
      </w:r>
      <w:r>
        <w:rPr>
          <w:strike w:val="off"/>
          <w:sz w:val="16"/>
          <w:szCs w:val="16"/>
        </w:rPr>
        <w:t>)를 이용하여 UV를 톨루엔이 젖혀진 광촉매 코팅된 부직포에 30분간 직접 조사한다(Fig. 2A). 광촉매를 이용한 톨루엔 분해 산물인 수소의 생성 여부를 확인하기 위해 불이 꺼진 성냥을 이용하여 불이 다시 타오르는지를 확인한다(Fig. 2B). 또한 밀폐된 실험 용기 뚜껑 상방에 호스가 연결되도록 하여 이를 통해 연결된 물이 들어 있는 용기에 충분히 수소를 용해시키고, 용존 수소 측정기를 이용한 용존 수소를 측정한다(Fig. 2C). 톨루엔의 분해량은 실험 전 광촉매 코팅된 부직포가 들어있는 실험 용기의 무게를 측정하고, UV 조사 30분 후 뚜껑을 열어 생성된 수소가 충분히 실험 용기에서 빠져나가게 한 후 무게를 재측정하여 그 차이로 설정하고, 이를 통해 잔류 톨루엔의 양을 측정하였다.</w:t>
      </w:r>
    </w:p>
    <w:p>
      <w:pPr>
        <w:pStyle w:val="b0"/>
        <w:widowControl w:val="off"/>
        <w:spacing w:line="240"/>
        <w:rPr>
          <w:strike w:val="off"/>
          <w:sz w:val="16"/>
          <w:szCs w:val="16"/>
        </w:rPr>
      </w:pPr>
      <w:r>
        <w:rPr>
          <w:strike w:val="off"/>
          <w:sz w:val="16"/>
          <w:szCs w:val="16"/>
        </w:rPr>
        <w:drawing>
          <wp:anchor distT="0" distB="0" distL="114300" distR="114300" behindDoc="0" locked="0" layoutInCell="1" simplePos="0" relativeHeight="251661312" allowOverlap="1" hidden="0">
            <wp:simplePos x="0" y="0"/>
            <wp:positionH relativeFrom="column">
              <wp:posOffset>-64770</wp:posOffset>
            </wp:positionH>
            <wp:positionV relativeFrom="paragraph">
              <wp:posOffset>188850</wp:posOffset>
            </wp:positionV>
            <wp:extent cx="3153029" cy="1263776"/>
            <wp:effectExtent l="0" t="0" r="0" b="0"/>
            <wp:wrapTopAndBottom/>
            <wp:docPr id="1026" name="shape1026"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2">
                      <a:extLst>
                        <a:ext uri="{28A0092B-C50C-407E-A947-70E740481C1C}">
                          <a14:useLocalDpi xmlns:a14="http://schemas.microsoft.com/office/drawing/2010/main" val="0"/>
                        </a:ext>
                      </a:extLst>
                    </a:blip>
                    <a:srcRect/>
                    <a:stretch>
                      <a:fillRect/>
                    </a:stretch>
                  </pic:blipFill>
                  <pic:spPr>
                    <a:xfrm>
                      <a:off x="0" y="0"/>
                      <a:ext cx="3153029" cy="1263776"/>
                    </a:xfrm>
                    <a:prstGeom prst="rect"/>
                  </pic:spPr>
                </pic:pic>
              </a:graphicData>
            </a:graphic>
          </wp:anchor>
        </w:drawing>
      </w:r>
    </w:p>
    <w:p>
      <w:pPr>
        <w:pStyle w:val="b0"/>
        <w:widowControl w:val="off"/>
        <w:spacing w:line="240"/>
        <w:rPr>
          <w:strike w:val="off"/>
          <w:sz w:val="16"/>
          <w:szCs w:val="16"/>
        </w:rPr>
      </w:pPr>
      <w:r>
        <w:rPr>
          <w:b/>
          <w:strike w:val="off"/>
          <w:sz w:val="16"/>
          <w:szCs w:val="16"/>
        </w:rPr>
        <w:t>Figure 2. TiO</w:t>
      </w:r>
      <w:r>
        <w:rPr>
          <w:b/>
          <w:strike w:val="off"/>
          <w:sz w:val="16"/>
          <w:szCs w:val="16"/>
        </w:rPr>
        <w:t>₂의</w:t>
      </w:r>
      <w:r>
        <w:rPr>
          <w:b/>
          <w:strike w:val="off"/>
          <w:sz w:val="16"/>
          <w:szCs w:val="16"/>
        </w:rPr>
        <w:t xml:space="preserve"> 톨루엔 분해실험. </w:t>
      </w:r>
      <w:r>
        <w:rPr>
          <w:strike w:val="off"/>
          <w:sz w:val="16"/>
          <w:szCs w:val="16"/>
        </w:rPr>
        <w:t>A: 밀폐된 실험 용기 내부에 광촉매를 코팅한 부직포에 적용된 톨루엔을 UV 조사를 시행하여 30분간 광분해한다; B: 실험 용기 내부에 생성된 광분해 산물인 수소를 확인하기 위해 꺼진 불씨를 이용하여 확인</w:t>
      </w:r>
      <w:r>
        <w:rPr>
          <w:lang w:eastAsia="ko-KR"/>
          <w:strike w:val="off"/>
          <w:sz w:val="16"/>
          <w:szCs w:val="16"/>
          <w:rtl w:val="off"/>
        </w:rPr>
        <w:t>한</w:t>
      </w:r>
      <w:r>
        <w:rPr>
          <w:strike w:val="off"/>
          <w:sz w:val="16"/>
          <w:szCs w:val="16"/>
        </w:rPr>
        <w:t>다; C: 실험 용기에 연결된 호스를 이용하여 물에 용해된 수소의 존재 여부를 용존 수소 측정기를 이용하여 측정한다.</w:t>
      </w:r>
    </w:p>
    <w:p>
      <w:pPr>
        <w:pStyle w:val="b0"/>
        <w:widowControl w:val="off"/>
        <w:wordWrap/>
        <w:jc w:val="left"/>
        <w:spacing w:line="240"/>
        <w:rPr>
          <w:lang w:eastAsia="ko-KR"/>
          <w:rFonts w:hint="eastAsia"/>
          <w:b/>
          <w:strike w:val="off"/>
          <w:color w:val="000000"/>
          <w:sz w:val="16"/>
          <w:szCs w:val="16"/>
          <w:rtl w:val="off"/>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r>
        <w:rPr>
          <w:b/>
          <w:bCs/>
          <w:strike w:val="off"/>
          <w:sz w:val="18"/>
          <w:szCs w:val="18"/>
        </w:rPr>
        <w:t>3. 추출된 수소를 이용한 수소연료 전지의 가동실험</w:t>
      </w:r>
    </w:p>
    <w:p>
      <w:pPr>
        <w:pStyle w:val="b0"/>
        <w:widowControl w:val="off"/>
        <w:spacing w:line="240"/>
        <w:rPr>
          <w:strike w:val="off"/>
          <w:sz w:val="16"/>
          <w:szCs w:val="16"/>
        </w:rPr>
      </w:pPr>
      <w:r>
        <w:rPr>
          <w:lang w:eastAsia="ko-KR"/>
          <w:b/>
          <w:bCs/>
          <w:strike w:val="off"/>
          <w:sz w:val="18"/>
          <w:szCs w:val="18"/>
          <w:rtl w:val="off"/>
        </w:rPr>
        <w:t xml:space="preserve"> </w:t>
      </w:r>
      <w:r>
        <w:rPr>
          <w:strike w:val="off"/>
          <w:sz w:val="16"/>
          <w:szCs w:val="16"/>
        </w:rPr>
        <w:t>실험 용기 뚜껑에 연결된 고무 호스를 수소연료전지 키트와 연결한다. 이후 수소연료전지의 가동 여부를 확인한다. 가동 여부는 수소연료전지와 연결된 생성된 전기에 의해 프로펠러가 작동하여 회전하는지를 통해 확인한다(Fig. 3).</w:t>
      </w:r>
    </w:p>
    <w:p>
      <w:pPr>
        <w:pStyle w:val="b0"/>
        <w:widowControl w:val="off"/>
        <w:spacing w:line="240"/>
        <w:rPr>
          <w:strike w:val="off"/>
          <w:sz w:val="16"/>
          <w:szCs w:val="16"/>
        </w:rPr>
      </w:pPr>
      <w:r>
        <w:rPr>
          <w:strike w:val="off"/>
          <w:sz w:val="16"/>
          <w:szCs w:val="16"/>
        </w:rPr>
        <w:drawing>
          <wp:anchor distT="0" distB="0" distL="114300" distR="114300" behindDoc="0" locked="0" layoutInCell="1" simplePos="0" relativeHeight="251662336" allowOverlap="1" hidden="0">
            <wp:simplePos x="0" y="0"/>
            <wp:positionH relativeFrom="column">
              <wp:posOffset>0</wp:posOffset>
            </wp:positionH>
            <wp:positionV relativeFrom="paragraph">
              <wp:posOffset>209805</wp:posOffset>
            </wp:positionV>
            <wp:extent cx="2692526" cy="1219326"/>
            <wp:effectExtent l="0" t="0" r="0" b="0"/>
            <wp:wrapTopAndBottom/>
            <wp:docPr id="1027" name="shape1027"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a:picLocks/>
                    </pic:cNvPicPr>
                  </pic:nvPicPr>
                  <pic:blipFill>
                    <a:blip r:embed="rId3">
                      <a:extLst>
                        <a:ext uri="{28A0092B-C50C-407E-A947-70E740481C1C}">
                          <a14:useLocalDpi xmlns:a14="http://schemas.microsoft.com/office/drawing/2010/main" val="0"/>
                        </a:ext>
                      </a:extLst>
                    </a:blip>
                    <a:srcRect/>
                    <a:stretch>
                      <a:fillRect/>
                    </a:stretch>
                  </pic:blipFill>
                  <pic:spPr>
                    <a:xfrm>
                      <a:off x="0" y="0"/>
                      <a:ext cx="2692526" cy="1219326"/>
                    </a:xfrm>
                    <a:prstGeom prst="rect"/>
                  </pic:spPr>
                </pic:pic>
              </a:graphicData>
            </a:graphic>
          </wp:anchor>
        </w:drawing>
      </w:r>
    </w:p>
    <w:p>
      <w:pPr>
        <w:pStyle w:val="b0"/>
        <w:widowControl w:val="off"/>
        <w:spacing w:line="240"/>
        <w:rPr>
          <w:strike w:val="off"/>
          <w:sz w:val="16"/>
          <w:szCs w:val="16"/>
        </w:rPr>
      </w:pPr>
      <w:r>
        <w:rPr>
          <w:b/>
          <w:strike w:val="off"/>
          <w:sz w:val="16"/>
          <w:szCs w:val="16"/>
        </w:rPr>
        <w:t xml:space="preserve">Figure 3. 수소연료 전지 가동실험. </w:t>
      </w:r>
      <w:r>
        <w:rPr>
          <w:strike w:val="off"/>
          <w:sz w:val="16"/>
          <w:szCs w:val="16"/>
        </w:rPr>
        <w:t>A: 실험 용기에 연결된 호</w:t>
      </w:r>
      <w:r>
        <w:rPr>
          <w:lang w:eastAsia="ko-KR"/>
          <w:strike w:val="off"/>
          <w:sz w:val="16"/>
          <w:szCs w:val="16"/>
          <w:rtl w:val="off"/>
        </w:rPr>
        <w:t>스</w:t>
      </w:r>
      <w:r>
        <w:rPr>
          <w:strike w:val="off"/>
          <w:sz w:val="16"/>
          <w:szCs w:val="16"/>
        </w:rPr>
        <w:t>를 이용하여 생성된 수소를 수소연료전지 키트에 연결한다; B: 수소 생성 여부에 따라 발생한 전기에 의</w:t>
      </w:r>
      <w:r>
        <w:rPr>
          <w:lang w:eastAsia="ko-KR"/>
          <w:strike w:val="off"/>
          <w:sz w:val="16"/>
          <w:szCs w:val="16"/>
          <w:rtl w:val="off"/>
        </w:rPr>
        <w:t xml:space="preserve">한 프로펠러 회전 여부를 </w:t>
      </w:r>
      <w:r>
        <w:rPr>
          <w:strike w:val="off"/>
          <w:sz w:val="16"/>
          <w:szCs w:val="16"/>
        </w:rPr>
        <w:t>확인한다.</w:t>
      </w:r>
    </w:p>
    <w:p>
      <w:pPr>
        <w:pStyle w:val="TAMainText"/>
        <w:rPr>
          <w:lang w:eastAsia="ko-KR"/>
          <w:rFonts w:ascii="바탕" w:hAnsi="바탕" w:hint="eastAsia"/>
          <w:b/>
          <w:bCs/>
          <w:sz w:val="16"/>
          <w:szCs w:val="16"/>
          <w:rtl w:val="off"/>
        </w:rPr>
      </w:pPr>
    </w:p>
    <w:p>
      <w:pPr>
        <w:pStyle w:val="TAMainText"/>
        <w:rPr>
          <w:lang w:eastAsia="ko-KR"/>
          <w:rFonts w:ascii="바탕" w:hAnsi="바탕" w:hint="eastAsia"/>
          <w:b/>
          <w:bCs/>
          <w:sz w:val="20"/>
          <w:rtl w:val="off"/>
        </w:rPr>
      </w:pPr>
      <w:r>
        <w:rPr>
          <w:lang w:eastAsia="ko-KR"/>
          <w:rFonts w:ascii="함초롬바탕" w:eastAsia="함초롬바탕" w:hAnsi="함초롬바탕" w:cs="함초롬바탕"/>
          <w:b/>
          <w:bCs/>
          <w:sz w:val="20"/>
          <w:u w:color="auto"/>
          <w:rtl w:val="off"/>
        </w:rPr>
        <w:t>2.2. 실험 결과</w:t>
      </w:r>
    </w:p>
    <w:p>
      <w:pPr>
        <w:pStyle w:val="b0"/>
        <w:widowControl w:val="off"/>
        <w:wordWrap/>
        <w:jc w:val="left"/>
        <w:spacing w:line="240"/>
        <w:rPr>
          <w:b/>
          <w:strike w:val="off"/>
          <w:color w:val="000000"/>
          <w:sz w:val="16"/>
          <w:szCs w:val="16"/>
        </w:rPr>
      </w:pPr>
      <w:r>
        <w:rPr>
          <w:b/>
          <w:strike w:val="off"/>
          <w:sz w:val="18"/>
          <w:szCs w:val="18"/>
        </w:rPr>
        <w:t>1. TiO</w:t>
      </w:r>
      <w:r>
        <w:rPr>
          <w:b/>
          <w:strike w:val="off"/>
          <w:sz w:val="18"/>
          <w:szCs w:val="18"/>
        </w:rPr>
        <w:t>₂과</w:t>
      </w:r>
      <w:r>
        <w:rPr>
          <w:b/>
          <w:strike w:val="off"/>
          <w:sz w:val="18"/>
          <w:szCs w:val="18"/>
        </w:rPr>
        <w:t xml:space="preserve"> 광촉매 반응 후 톨루엔의 잔류</w:t>
      </w:r>
    </w:p>
    <w:p>
      <w:pPr>
        <w:pStyle w:val="b0"/>
        <w:widowControl w:val="off"/>
        <w:wordWrap/>
        <w:jc w:val="left"/>
        <w:spacing w:line="240"/>
        <w:rPr>
          <w:strike w:val="off"/>
          <w:sz w:val="16"/>
          <w:szCs w:val="16"/>
        </w:rPr>
      </w:pPr>
      <w:r>
        <w:rPr>
          <w:strike w:val="off"/>
          <w:sz w:val="16"/>
          <w:szCs w:val="16"/>
        </w:rPr>
        <w:t xml:space="preserve"> 이산화 티타늄과 톨루엔을 접촉하고 UV램프를 조사한 후, 잔류된 톨루엔의 양을 측정한 결과, 반응 10분, 15분, 20분, 25분 후에는 각각 7.802g, 7.059g, 6.592g, 6.155g의 톨루엔이 비커 안에 잔류하였다. 부피로 계산하였을 때, 각각 9.00</w:t>
      </w:r>
      <w:r>
        <w:rPr>
          <w:strike w:val="off"/>
          <w:sz w:val="16"/>
          <w:szCs w:val="16"/>
        </w:rPr>
        <w:t>㎖</w:t>
      </w:r>
      <w:r>
        <w:rPr>
          <w:strike w:val="off"/>
          <w:sz w:val="16"/>
          <w:szCs w:val="16"/>
        </w:rPr>
        <w:t>, 8.14.</w:t>
      </w:r>
      <w:r>
        <w:rPr>
          <w:strike w:val="off"/>
          <w:sz w:val="16"/>
          <w:szCs w:val="16"/>
        </w:rPr>
        <w:t>㎖</w:t>
      </w:r>
      <w:r>
        <w:rPr>
          <w:strike w:val="off"/>
          <w:sz w:val="16"/>
          <w:szCs w:val="16"/>
        </w:rPr>
        <w:t>, 7.60</w:t>
      </w:r>
      <w:r>
        <w:rPr>
          <w:strike w:val="off"/>
          <w:sz w:val="16"/>
          <w:szCs w:val="16"/>
        </w:rPr>
        <w:t>㎖</w:t>
      </w:r>
      <w:r>
        <w:rPr>
          <w:strike w:val="off"/>
          <w:sz w:val="16"/>
          <w:szCs w:val="16"/>
        </w:rPr>
        <w:t>, 7.10</w:t>
      </w:r>
      <w:r>
        <w:rPr>
          <w:strike w:val="off"/>
          <w:sz w:val="16"/>
          <w:szCs w:val="16"/>
        </w:rPr>
        <w:t>㎖가</w:t>
      </w:r>
      <w:r>
        <w:rPr>
          <w:strike w:val="off"/>
          <w:sz w:val="16"/>
          <w:szCs w:val="16"/>
        </w:rPr>
        <w:t xml:space="preserve"> 반응 후 잔류하였다. 잔류율과 분해율은 각각 89.99%, 81.40%, 76.01%, 71.03%와 10.01%, 18.60%, 23.99%, 28.97%였다(Table 1).</w:t>
      </w:r>
    </w:p>
    <w:p>
      <w:pPr>
        <w:pStyle w:val="b0"/>
        <w:widowControl w:val="off"/>
        <w:wordWrap/>
        <w:jc w:val="left"/>
        <w:spacing w:line="240"/>
        <w:rPr>
          <w:b/>
          <w:strike w:val="off"/>
          <w:color w:val="000000"/>
          <w:sz w:val="16"/>
          <w:szCs w:val="16"/>
        </w:rPr>
      </w:pPr>
    </w:p>
    <w:p>
      <w:pPr>
        <w:pStyle w:val="b0"/>
        <w:widowControl w:val="off"/>
        <w:wordWrap/>
        <w:jc w:val="left"/>
        <w:spacing w:line="240"/>
        <w:rPr>
          <w:lang w:eastAsia="ko-KR"/>
          <w:rFonts w:hint="eastAsia"/>
          <w:b/>
          <w:strike w:val="off"/>
          <w:sz w:val="16"/>
          <w:szCs w:val="16"/>
          <w:rtl w:val="off"/>
        </w:rPr>
      </w:pPr>
      <w:r>
        <w:rPr>
          <w:b/>
          <w:strike w:val="off"/>
          <w:sz w:val="16"/>
          <w:szCs w:val="16"/>
        </w:rPr>
        <w:t>Table 1. TiO</w:t>
      </w:r>
      <w:r>
        <w:rPr>
          <w:b/>
          <w:strike w:val="off"/>
          <w:sz w:val="16"/>
          <w:szCs w:val="16"/>
        </w:rPr>
        <w:t>₂과</w:t>
      </w:r>
      <w:r>
        <w:rPr>
          <w:b/>
          <w:strike w:val="off"/>
          <w:sz w:val="16"/>
          <w:szCs w:val="16"/>
        </w:rPr>
        <w:t xml:space="preserve"> 톨루엔의 광촉매 작용 결과</w:t>
      </w:r>
    </w:p>
    <w:tbl>
      <w:tblPr>
        <w:tblpPr w:vertAnchor="text" w:horzAnchor="page" w:tblpX="6319" w:tblpY="65"/>
        <w:tblOverlap w:val="never"/>
        <w:tblW w:w="5378" w:type="dxa"/>
        <w:tblBorders>
          <w:top w:val="single" w:sz="3" w:space="0" w:color="000000"/>
          <w:left w:val="single" w:sz="3" w:space="0" w:color="000000"/>
          <w:bottom w:val="single" w:sz="3" w:space="0" w:color="000000"/>
          <w:right w:val="single" w:sz="3" w:space="0" w:color="000000"/>
        </w:tblBorders>
        <w:tblLook w:val="04A0" w:firstRow="1" w:lastRow="0" w:firstColumn="1" w:lastColumn="0" w:noHBand="0" w:noVBand="1"/>
        <w:tblLayout w:type="fixed"/>
        <w:tblCellMar>
          <w:top w:w="28" w:type="dxa"/>
          <w:left w:w="102" w:type="dxa"/>
          <w:bottom w:w="28" w:type="dxa"/>
          <w:right w:w="102" w:type="dxa"/>
        </w:tblCellMar>
      </w:tblPr>
      <w:tblGrid>
        <w:gridCol w:w="1176"/>
        <w:gridCol w:w="1321"/>
        <w:gridCol w:w="1202"/>
        <w:gridCol w:w="766"/>
        <w:gridCol w:w="912"/>
      </w:tblGrid>
      <w:tr>
        <w:trPr>
          <w:trHeight w:val="56" w:hRule="atLeast"/>
        </w:trPr>
        <w:tc>
          <w:tcPr>
            <w:tcW w:w="117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lang w:eastAsia="ko-KR"/>
                <w:rFonts w:hint="eastAsia"/>
                <w:strike w:val="off"/>
                <w:sz w:val="16"/>
                <w:szCs w:val="16"/>
                <w:rtl w:val="off"/>
              </w:rPr>
            </w:pPr>
            <w:r>
              <w:rPr>
                <w:strike w:val="off"/>
                <w:sz w:val="16"/>
                <w:szCs w:val="16"/>
              </w:rPr>
              <w:t>시간</w:t>
            </w:r>
          </w:p>
          <w:p>
            <w:pPr>
              <w:pStyle w:val="b0"/>
              <w:widowControl w:val="off"/>
              <w:wordWrap/>
              <w:jc w:val="center"/>
              <w:spacing w:line="240"/>
              <w:rPr>
                <w:strike w:val="off"/>
                <w:sz w:val="16"/>
                <w:szCs w:val="16"/>
              </w:rPr>
            </w:pPr>
            <w:r>
              <w:rPr>
                <w:strike w:val="off"/>
                <w:sz w:val="16"/>
                <w:szCs w:val="16"/>
              </w:rPr>
              <w:t>(분, minute)</w:t>
            </w:r>
          </w:p>
        </w:tc>
        <w:tc>
          <w:tcPr>
            <w:tcW w:w="1321"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잔류 톨루엔 양(g)</w:t>
            </w:r>
          </w:p>
        </w:tc>
        <w:tc>
          <w:tcPr>
            <w:tcW w:w="120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잔존 톨루엔 부피(</w:t>
            </w:r>
            <w:r>
              <w:rPr>
                <w:strike w:val="off"/>
                <w:sz w:val="16"/>
                <w:szCs w:val="16"/>
              </w:rPr>
              <w:t>㎖</w:t>
            </w:r>
            <w:r>
              <w:rPr>
                <w:strike w:val="off"/>
                <w:sz w:val="16"/>
                <w:szCs w:val="16"/>
              </w:rPr>
              <w:t>)</w:t>
            </w:r>
          </w:p>
        </w:tc>
        <w:tc>
          <w:tcPr>
            <w:tcW w:w="76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lang w:eastAsia="ko-KR"/>
                <w:rFonts w:hint="eastAsia"/>
                <w:strike w:val="off"/>
                <w:sz w:val="16"/>
                <w:szCs w:val="16"/>
                <w:rtl w:val="off"/>
              </w:rPr>
            </w:pPr>
            <w:r>
              <w:rPr>
                <w:strike w:val="off"/>
                <w:sz w:val="16"/>
                <w:szCs w:val="16"/>
              </w:rPr>
              <w:t>잔류율</w:t>
            </w:r>
          </w:p>
          <w:p>
            <w:pPr>
              <w:pStyle w:val="b0"/>
              <w:widowControl w:val="off"/>
              <w:wordWrap/>
              <w:jc w:val="center"/>
              <w:spacing w:line="240"/>
              <w:rPr>
                <w:strike w:val="off"/>
                <w:sz w:val="16"/>
                <w:szCs w:val="16"/>
              </w:rPr>
            </w:pPr>
            <w:r>
              <w:rPr>
                <w:strike w:val="off"/>
                <w:sz w:val="16"/>
                <w:szCs w:val="16"/>
              </w:rPr>
              <w:t>(%)</w:t>
            </w:r>
          </w:p>
        </w:tc>
        <w:tc>
          <w:tcPr>
            <w:tcW w:w="91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lang w:eastAsia="ko-KR"/>
                <w:rFonts w:hint="eastAsia"/>
                <w:strike w:val="off"/>
                <w:sz w:val="16"/>
                <w:szCs w:val="16"/>
                <w:rtl w:val="off"/>
              </w:rPr>
            </w:pPr>
            <w:r>
              <w:rPr>
                <w:strike w:val="off"/>
                <w:sz w:val="16"/>
                <w:szCs w:val="16"/>
              </w:rPr>
              <w:t>분해율</w:t>
            </w:r>
          </w:p>
          <w:p>
            <w:pPr>
              <w:pStyle w:val="b0"/>
              <w:widowControl w:val="off"/>
              <w:wordWrap/>
              <w:jc w:val="center"/>
              <w:spacing w:line="240"/>
              <w:rPr>
                <w:strike w:val="off"/>
                <w:sz w:val="16"/>
                <w:szCs w:val="16"/>
              </w:rPr>
            </w:pPr>
            <w:r>
              <w:rPr>
                <w:strike w:val="off"/>
                <w:sz w:val="16"/>
                <w:szCs w:val="16"/>
              </w:rPr>
              <w:t>(%)</w:t>
            </w:r>
          </w:p>
        </w:tc>
      </w:tr>
      <w:tr>
        <w:trPr>
          <w:trHeight w:val="56" w:hRule="atLeast"/>
        </w:trPr>
        <w:tc>
          <w:tcPr>
            <w:tcW w:w="117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0</w:t>
            </w:r>
          </w:p>
        </w:tc>
        <w:tc>
          <w:tcPr>
            <w:tcW w:w="1321"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8.670</w:t>
            </w:r>
          </w:p>
        </w:tc>
        <w:tc>
          <w:tcPr>
            <w:tcW w:w="120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10.00</w:t>
            </w:r>
          </w:p>
        </w:tc>
        <w:tc>
          <w:tcPr>
            <w:tcW w:w="76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100</w:t>
            </w:r>
          </w:p>
        </w:tc>
        <w:tc>
          <w:tcPr>
            <w:tcW w:w="91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0.00</w:t>
            </w:r>
          </w:p>
        </w:tc>
      </w:tr>
      <w:tr>
        <w:trPr>
          <w:trHeight w:val="56" w:hRule="atLeast"/>
        </w:trPr>
        <w:tc>
          <w:tcPr>
            <w:tcW w:w="117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10</w:t>
            </w:r>
          </w:p>
        </w:tc>
        <w:tc>
          <w:tcPr>
            <w:tcW w:w="1321"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7.802</w:t>
            </w:r>
          </w:p>
        </w:tc>
        <w:tc>
          <w:tcPr>
            <w:tcW w:w="120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9.00</w:t>
            </w:r>
          </w:p>
        </w:tc>
        <w:tc>
          <w:tcPr>
            <w:tcW w:w="76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89.99</w:t>
            </w:r>
          </w:p>
        </w:tc>
        <w:tc>
          <w:tcPr>
            <w:tcW w:w="91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10.01</w:t>
            </w:r>
          </w:p>
        </w:tc>
      </w:tr>
      <w:tr>
        <w:trPr>
          <w:trHeight w:val="56" w:hRule="atLeast"/>
        </w:trPr>
        <w:tc>
          <w:tcPr>
            <w:tcW w:w="117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15</w:t>
            </w:r>
          </w:p>
        </w:tc>
        <w:tc>
          <w:tcPr>
            <w:tcW w:w="1321"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7.059</w:t>
            </w:r>
          </w:p>
        </w:tc>
        <w:tc>
          <w:tcPr>
            <w:tcW w:w="120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8.14</w:t>
            </w:r>
          </w:p>
        </w:tc>
        <w:tc>
          <w:tcPr>
            <w:tcW w:w="76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81.40</w:t>
            </w:r>
          </w:p>
        </w:tc>
        <w:tc>
          <w:tcPr>
            <w:tcW w:w="91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18.60</w:t>
            </w:r>
          </w:p>
        </w:tc>
      </w:tr>
      <w:tr>
        <w:trPr>
          <w:trHeight w:val="56" w:hRule="atLeast"/>
        </w:trPr>
        <w:tc>
          <w:tcPr>
            <w:tcW w:w="117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20</w:t>
            </w:r>
          </w:p>
        </w:tc>
        <w:tc>
          <w:tcPr>
            <w:tcW w:w="1321"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6.592</w:t>
            </w:r>
          </w:p>
        </w:tc>
        <w:tc>
          <w:tcPr>
            <w:tcW w:w="120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7.60</w:t>
            </w:r>
          </w:p>
        </w:tc>
        <w:tc>
          <w:tcPr>
            <w:tcW w:w="76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76.01</w:t>
            </w:r>
          </w:p>
        </w:tc>
        <w:tc>
          <w:tcPr>
            <w:tcW w:w="91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23.99</w:t>
            </w:r>
          </w:p>
        </w:tc>
      </w:tr>
      <w:tr>
        <w:trPr>
          <w:trHeight w:val="56" w:hRule="atLeast"/>
        </w:trPr>
        <w:tc>
          <w:tcPr>
            <w:tcW w:w="117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25</w:t>
            </w:r>
          </w:p>
        </w:tc>
        <w:tc>
          <w:tcPr>
            <w:tcW w:w="1321"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6.155</w:t>
            </w:r>
          </w:p>
        </w:tc>
        <w:tc>
          <w:tcPr>
            <w:tcW w:w="120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7.10</w:t>
            </w:r>
          </w:p>
        </w:tc>
        <w:tc>
          <w:tcPr>
            <w:tcW w:w="766"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71.03</w:t>
            </w:r>
          </w:p>
        </w:tc>
        <w:tc>
          <w:tcPr>
            <w:tcW w:w="91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28.97</w:t>
            </w:r>
          </w:p>
        </w:tc>
      </w:tr>
    </w:tbl>
    <w:p>
      <w:pPr>
        <w:pStyle w:val="b0"/>
        <w:widowControl w:val="off"/>
        <w:wordWrap/>
        <w:jc w:val="left"/>
        <w:spacing w:line="240"/>
        <w:rPr>
          <w:lang/>
          <w:b/>
          <w:strike w:val="off"/>
          <w:sz w:val="16"/>
          <w:szCs w:val="16"/>
          <w:rtl w:val="off"/>
        </w:rPr>
      </w:pPr>
    </w:p>
    <w:p>
      <w:pPr>
        <w:pStyle w:val="b0"/>
        <w:widowControl w:val="off"/>
        <w:wordWrap/>
        <w:jc w:val="left"/>
        <w:spacing w:line="240"/>
        <w:rPr>
          <w:lang/>
          <w:b/>
          <w:strike w:val="off"/>
          <w:sz w:val="16"/>
          <w:szCs w:val="16"/>
          <w:rtl w:val="off"/>
        </w:rPr>
      </w:pPr>
    </w:p>
    <w:p>
      <w:pPr>
        <w:pStyle w:val="b0"/>
        <w:widowControl w:val="off"/>
        <w:wordWrap/>
        <w:jc w:val="left"/>
        <w:spacing w:line="240"/>
        <w:rPr>
          <w:lang/>
          <w:b/>
          <w:strike w:val="off"/>
          <w:sz w:val="16"/>
          <w:szCs w:val="16"/>
          <w:rtl w:val="off"/>
        </w:rPr>
      </w:pPr>
    </w:p>
    <w:p>
      <w:pPr>
        <w:pStyle w:val="b0"/>
        <w:widowControl w:val="off"/>
        <w:wordWrap/>
        <w:jc w:val="left"/>
        <w:spacing w:line="240"/>
        <w:rPr>
          <w:lang/>
          <w:b/>
          <w:strike w:val="off"/>
          <w:sz w:val="16"/>
          <w:szCs w:val="16"/>
          <w:rtl w:val="off"/>
        </w:rPr>
      </w:pPr>
    </w:p>
    <w:p>
      <w:pPr>
        <w:pStyle w:val="b0"/>
        <w:widowControl w:val="off"/>
        <w:wordWrap/>
        <w:jc w:val="left"/>
        <w:spacing w:line="240"/>
        <w:rPr>
          <w:lang/>
          <w:b/>
          <w:strike w:val="off"/>
          <w:sz w:val="16"/>
          <w:szCs w:val="16"/>
          <w:rtl w:val="off"/>
        </w:rPr>
      </w:pPr>
    </w:p>
    <w:p>
      <w:pPr>
        <w:pStyle w:val="b0"/>
        <w:widowControl w:val="off"/>
        <w:wordWrap/>
        <w:jc w:val="left"/>
        <w:spacing w:line="240"/>
        <w:rPr>
          <w:lang/>
          <w:b/>
          <w:strike w:val="off"/>
          <w:sz w:val="16"/>
          <w:szCs w:val="16"/>
          <w:rtl w:val="off"/>
        </w:rPr>
      </w:pPr>
    </w:p>
    <w:p>
      <w:pPr>
        <w:pStyle w:val="b0"/>
        <w:widowControl w:val="off"/>
        <w:wordWrap/>
        <w:jc w:val="left"/>
        <w:spacing w:line="240"/>
        <w:rPr>
          <w:lang/>
          <w:b/>
          <w:strike w:val="off"/>
          <w:sz w:val="16"/>
          <w:szCs w:val="16"/>
          <w:rtl w:val="off"/>
        </w:rPr>
      </w:pPr>
    </w:p>
    <w:p>
      <w:pPr>
        <w:pStyle w:val="b0"/>
        <w:widowControl w:val="off"/>
        <w:wordWrap/>
        <w:jc w:val="left"/>
        <w:spacing w:line="240"/>
        <w:rPr>
          <w:lang/>
          <w:b/>
          <w:strike w:val="off"/>
          <w:sz w:val="16"/>
          <w:szCs w:val="16"/>
          <w:rtl w:val="off"/>
        </w:rPr>
      </w:pPr>
    </w:p>
    <w:p>
      <w:pPr>
        <w:pStyle w:val="b0"/>
        <w:widowControl w:val="off"/>
        <w:wordWrap/>
        <w:jc w:val="left"/>
        <w:spacing w:line="240"/>
        <w:rPr>
          <w:strike w:val="off"/>
          <w:sz w:val="16"/>
          <w:szCs w:val="16"/>
        </w:rPr>
      </w:pPr>
      <w:r>
        <w:rPr>
          <w:b/>
          <w:strike w:val="off"/>
          <w:sz w:val="16"/>
          <w:szCs w:val="16"/>
        </w:rPr>
        <w:t>Figure 4. TiO</w:t>
      </w:r>
      <w:r>
        <w:rPr>
          <w:b/>
          <w:strike w:val="off"/>
          <w:sz w:val="16"/>
          <w:szCs w:val="16"/>
        </w:rPr>
        <w:t>₂과</w:t>
      </w:r>
      <w:r>
        <w:rPr>
          <w:b/>
          <w:strike w:val="off"/>
          <w:sz w:val="16"/>
          <w:szCs w:val="16"/>
        </w:rPr>
        <w:t xml:space="preserve"> 톨루엔의 광촉매 작용 후 잔류 톨루엔 양</w:t>
      </w:r>
    </w:p>
    <w:p>
      <w:pPr>
        <w:pStyle w:val="b0"/>
        <w:widowControl w:val="off"/>
        <w:wordWrap/>
        <w:jc w:val="left"/>
        <w:spacing w:line="240"/>
        <w:rPr>
          <w:b/>
          <w:strike w:val="off"/>
          <w:color w:val="000000"/>
          <w:sz w:val="16"/>
          <w:szCs w:val="16"/>
        </w:rPr>
      </w:pPr>
      <w:r>
        <w:rPr>
          <w:strike w:val="off"/>
          <w:sz w:val="16"/>
          <w:szCs w:val="16"/>
        </w:rPr>
        <w:drawing>
          <wp:anchor distT="0" distB="0" distL="0" distR="0" behindDoc="0" locked="0" layoutInCell="1" simplePos="0" relativeHeight="251663360" allowOverlap="1" hidden="0">
            <wp:simplePos x="0" y="0"/>
            <wp:positionH relativeFrom="column">
              <wp:posOffset>87312</wp:posOffset>
            </wp:positionH>
            <wp:positionV relativeFrom="paragraph">
              <wp:posOffset>97346</wp:posOffset>
            </wp:positionV>
            <wp:extent cx="2920174" cy="2723706"/>
            <wp:effectExtent l="0" t="0" r="0" b="0"/>
            <wp:wrapSquare wrapText="bothSides"/>
            <wp:docPr id="1028" name="shape1028"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4">
                      <a:extLst>
                        <a:ext uri="{28A0092B-C50C-407E-A947-70E740481C1C}">
                          <a14:useLocalDpi xmlns:a14="http://schemas.microsoft.com/office/drawing/2010/main" val="0"/>
                        </a:ext>
                      </a:extLst>
                    </a:blip>
                    <a:srcRect/>
                    <a:stretch>
                      <a:fillRect/>
                    </a:stretch>
                  </pic:blipFill>
                  <pic:spPr>
                    <a:xfrm>
                      <a:off x="0" y="0"/>
                      <a:ext cx="2920174" cy="2723706"/>
                    </a:xfrm>
                    <a:prstGeom prst="rect"/>
                  </pic:spPr>
                </pic:pic>
              </a:graphicData>
            </a:graphic>
          </wp:anchor>
        </w:drawing>
      </w:r>
    </w:p>
    <w:p>
      <w:pPr>
        <w:pStyle w:val="b0"/>
        <w:widowControl w:val="off"/>
        <w:wordWrap/>
        <w:jc w:val="left"/>
        <w:spacing w:line="240"/>
        <w:rPr>
          <w:strike w:val="off"/>
          <w:sz w:val="16"/>
          <w:szCs w:val="16"/>
        </w:rPr>
      </w:pPr>
      <w:r>
        <w:rPr>
          <w:b/>
          <w:strike w:val="off"/>
          <w:sz w:val="18"/>
          <w:szCs w:val="18"/>
        </w:rPr>
        <w:t>2. TiO</w:t>
      </w:r>
      <w:r>
        <w:rPr>
          <w:b/>
          <w:strike w:val="off"/>
          <w:sz w:val="18"/>
          <w:szCs w:val="18"/>
        </w:rPr>
        <w:t>₂과</w:t>
      </w:r>
      <w:r>
        <w:rPr>
          <w:b/>
          <w:strike w:val="off"/>
          <w:sz w:val="18"/>
          <w:szCs w:val="18"/>
        </w:rPr>
        <w:t xml:space="preserve"> 톨루엔의 광촉매 반응</w:t>
      </w:r>
      <w:r>
        <w:rPr>
          <w:lang w:eastAsia="ko-KR"/>
          <w:b/>
          <w:strike w:val="off"/>
          <w:sz w:val="18"/>
          <w:szCs w:val="18"/>
          <w:rtl w:val="off"/>
        </w:rPr>
        <w:t xml:space="preserve"> </w:t>
      </w:r>
      <w:r>
        <w:rPr>
          <w:b/>
          <w:strike w:val="off"/>
          <w:sz w:val="18"/>
          <w:szCs w:val="18"/>
        </w:rPr>
        <w:t>후 생성된 수소량</w:t>
      </w:r>
    </w:p>
    <w:p>
      <w:pPr>
        <w:pStyle w:val="b0"/>
        <w:widowControl w:val="off"/>
        <w:spacing w:line="240"/>
        <w:rPr>
          <w:strike w:val="off"/>
          <w:sz w:val="16"/>
          <w:szCs w:val="16"/>
        </w:rPr>
      </w:pPr>
      <w:r>
        <w:rPr>
          <w:lang w:eastAsia="ko-KR"/>
          <w:strike w:val="off"/>
          <w:sz w:val="16"/>
          <w:szCs w:val="16"/>
          <w:rtl w:val="off"/>
        </w:rPr>
        <w:t xml:space="preserve"> </w:t>
      </w:r>
      <w:r>
        <w:rPr>
          <w:strike w:val="off"/>
          <w:sz w:val="16"/>
          <w:szCs w:val="16"/>
        </w:rPr>
        <w:t>이산화 티타늄과 톨루엔을 접촉하고 UV램프를 조사한 후, 실험 용기 안의 수소 생성 여부를 확인하기 위해 꺼진 성냥불을 넣은 결과 불이 되살아나는 반응을 확인하였다(Fig. 2B). 그러나, 호스로 연결된 물이 들어있는 실험 용기에 생성된 용존 수소를 측정한 결과, 반응 10분, 15분, 20분, 25분, 30분 후에도 수소는 검출되지 않았다. 다만, 용기 내 물에서 호스를 따라 기포가 다수 생성되었다.</w:t>
      </w:r>
    </w:p>
    <w:p>
      <w:pPr>
        <w:pStyle w:val="b0"/>
        <w:widowControl w:val="off"/>
        <w:wordWrap/>
        <w:jc w:val="left"/>
        <w:spacing w:line="240"/>
        <w:rPr>
          <w:b/>
          <w:strike w:val="off"/>
          <w:color w:val="000000"/>
          <w:sz w:val="16"/>
          <w:szCs w:val="16"/>
        </w:rPr>
      </w:pPr>
    </w:p>
    <w:p>
      <w:pPr>
        <w:pStyle w:val="b0"/>
        <w:widowControl w:val="off"/>
        <w:wordWrap/>
        <w:jc w:val="left"/>
        <w:spacing w:line="240"/>
        <w:rPr>
          <w:strike w:val="off"/>
          <w:sz w:val="16"/>
          <w:szCs w:val="16"/>
        </w:rPr>
      </w:pPr>
      <w:r>
        <w:rPr>
          <w:b/>
          <w:strike w:val="off"/>
          <w:sz w:val="16"/>
          <w:szCs w:val="16"/>
        </w:rPr>
        <w:t>Table 2. TiO</w:t>
      </w:r>
      <w:r>
        <w:rPr>
          <w:b/>
          <w:strike w:val="off"/>
          <w:sz w:val="16"/>
          <w:szCs w:val="16"/>
        </w:rPr>
        <w:t>₂과</w:t>
      </w:r>
      <w:r>
        <w:rPr>
          <w:b/>
          <w:strike w:val="off"/>
          <w:sz w:val="16"/>
          <w:szCs w:val="16"/>
        </w:rPr>
        <w:t xml:space="preserve"> 톨루엔의 광촉매 작용 후 용존 수소량</w:t>
      </w:r>
    </w:p>
    <w:tbl>
      <w:tblPr>
        <w:tblpPr w:vertAnchor="text" w:horzAnchor="page" w:tblpX="1067" w:tblpY="105"/>
        <w:tblOverlap w:val="never"/>
        <w:tblW w:w="4465" w:type="dxa"/>
        <w:tblBorders>
          <w:top w:val="single" w:sz="3" w:space="0" w:color="000000"/>
          <w:left w:val="single" w:sz="3" w:space="0" w:color="000000"/>
          <w:bottom w:val="single" w:sz="3" w:space="0" w:color="000000"/>
          <w:right w:val="single" w:sz="3" w:space="0" w:color="000000"/>
        </w:tblBorders>
        <w:tblLook w:val="04A0" w:firstRow="1" w:lastRow="0" w:firstColumn="1" w:lastColumn="0" w:noHBand="0" w:noVBand="1"/>
        <w:tblLayout w:type="fixed"/>
        <w:tblCellMar>
          <w:top w:w="28" w:type="dxa"/>
          <w:left w:w="102" w:type="dxa"/>
          <w:bottom w:w="28" w:type="dxa"/>
          <w:right w:w="102" w:type="dxa"/>
        </w:tblCellMar>
      </w:tblPr>
      <w:tblGrid>
        <w:gridCol w:w="2232"/>
        <w:gridCol w:w="2232"/>
      </w:tblGrid>
      <w:tr>
        <w:trPr>
          <w:trHeight w:val="381" w:hRule="atLeast"/>
        </w:trPr>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시간(분, minute)</w:t>
            </w:r>
          </w:p>
        </w:tc>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농도(ppm)</w:t>
            </w:r>
          </w:p>
        </w:tc>
      </w:tr>
      <w:tr>
        <w:trPr>
          <w:trHeight w:val="381" w:hRule="atLeast"/>
        </w:trPr>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10</w:t>
            </w:r>
          </w:p>
        </w:tc>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0.0</w:t>
            </w:r>
          </w:p>
        </w:tc>
      </w:tr>
      <w:tr>
        <w:trPr>
          <w:trHeight w:val="381" w:hRule="atLeast"/>
        </w:trPr>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15</w:t>
            </w:r>
          </w:p>
        </w:tc>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0.0</w:t>
            </w:r>
          </w:p>
        </w:tc>
      </w:tr>
      <w:tr>
        <w:trPr>
          <w:trHeight w:val="381" w:hRule="atLeast"/>
        </w:trPr>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20</w:t>
            </w:r>
          </w:p>
        </w:tc>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0.0</w:t>
            </w:r>
          </w:p>
        </w:tc>
      </w:tr>
      <w:tr>
        <w:trPr>
          <w:trHeight w:val="381" w:hRule="atLeast"/>
        </w:trPr>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25</w:t>
            </w:r>
          </w:p>
        </w:tc>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0.0</w:t>
            </w:r>
          </w:p>
        </w:tc>
      </w:tr>
      <w:tr>
        <w:trPr>
          <w:trHeight w:val="381" w:hRule="atLeast"/>
        </w:trPr>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30</w:t>
            </w:r>
          </w:p>
        </w:tc>
        <w:tc>
          <w:tcPr>
            <w:tcW w:w="2232"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0.0</w:t>
            </w:r>
          </w:p>
        </w:tc>
      </w:tr>
    </w:tbl>
    <w:p>
      <w:pPr>
        <w:pStyle w:val="b0"/>
        <w:widowControl w:val="off"/>
        <w:wordWrap/>
        <w:jc w:val="left"/>
        <w:spacing w:line="240"/>
        <w:rPr>
          <w:strike w:val="off"/>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strike w:val="off"/>
          <w:sz w:val="16"/>
          <w:szCs w:val="16"/>
        </w:rPr>
      </w:pPr>
      <w:r>
        <w:rPr>
          <w:b/>
          <w:strike w:val="off"/>
          <w:sz w:val="18"/>
          <w:szCs w:val="18"/>
        </w:rPr>
        <w:t>3. 추출된 수소를 이용한 수소연료 전지의 가동 여부</w:t>
      </w:r>
    </w:p>
    <w:p>
      <w:pPr>
        <w:pStyle w:val="b0"/>
        <w:widowControl w:val="off"/>
        <w:spacing w:line="240"/>
        <w:rPr>
          <w:strike w:val="off"/>
          <w:sz w:val="16"/>
          <w:szCs w:val="16"/>
        </w:rPr>
      </w:pPr>
      <w:r>
        <w:rPr>
          <w:lang w:eastAsia="ko-KR"/>
          <w:strike w:val="off"/>
          <w:sz w:val="16"/>
          <w:szCs w:val="16"/>
          <w:rtl w:val="off"/>
        </w:rPr>
        <w:t xml:space="preserve"> </w:t>
      </w:r>
      <w:r>
        <w:rPr>
          <w:strike w:val="off"/>
          <w:sz w:val="16"/>
          <w:szCs w:val="16"/>
        </w:rPr>
        <w:t>이산화 티타늄과 톨루엔을 접촉하고 UV램프를 조사한 후, 실험 용기를 연결한 호스를 수소연료전지 키트와 연결하여, 가동 여부를 확인하였다. 그 결과, 10분, 15분, 20분, 25분, 30분 후에도 수소연료전지 키트는 작동하지 않았다.</w:t>
      </w:r>
    </w:p>
    <w:p>
      <w:pPr>
        <w:pStyle w:val="b0"/>
        <w:widowControl w:val="off"/>
        <w:wordWrap/>
        <w:jc w:val="left"/>
        <w:spacing w:line="240"/>
        <w:rPr>
          <w:lang/>
          <w:b/>
          <w:strike w:val="off"/>
          <w:color w:val="000000"/>
          <w:sz w:val="16"/>
          <w:szCs w:val="16"/>
          <w:rtl w:val="off"/>
        </w:rPr>
      </w:pPr>
    </w:p>
    <w:p>
      <w:pPr>
        <w:pStyle w:val="b0"/>
        <w:widowControl w:val="off"/>
        <w:wordWrap/>
        <w:jc w:val="left"/>
        <w:spacing w:line="240"/>
        <w:rPr>
          <w:lang/>
          <w:b/>
          <w:strike w:val="off"/>
          <w:color w:val="000000"/>
          <w:sz w:val="16"/>
          <w:szCs w:val="16"/>
          <w:rtl w:val="off"/>
        </w:rPr>
      </w:pPr>
    </w:p>
    <w:p>
      <w:pPr>
        <w:pStyle w:val="b0"/>
        <w:widowControl w:val="off"/>
        <w:wordWrap/>
        <w:jc w:val="left"/>
        <w:spacing w:line="240"/>
        <w:rPr>
          <w:lang/>
          <w:b/>
          <w:strike w:val="off"/>
          <w:color w:val="000000"/>
          <w:sz w:val="16"/>
          <w:szCs w:val="16"/>
          <w:rtl w:val="off"/>
        </w:rPr>
      </w:pPr>
    </w:p>
    <w:p>
      <w:pPr>
        <w:pStyle w:val="b0"/>
        <w:widowControl w:val="off"/>
        <w:wordWrap/>
        <w:jc w:val="left"/>
        <w:spacing w:line="240"/>
        <w:rPr>
          <w:b/>
          <w:strike w:val="off"/>
          <w:color w:val="000000"/>
          <w:sz w:val="16"/>
          <w:szCs w:val="16"/>
        </w:rPr>
      </w:pPr>
    </w:p>
    <w:p>
      <w:pPr>
        <w:pStyle w:val="b0"/>
        <w:widowControl w:val="off"/>
        <w:wordWrap/>
        <w:jc w:val="left"/>
        <w:spacing w:line="240"/>
        <w:rPr>
          <w:strike w:val="off"/>
          <w:sz w:val="16"/>
          <w:szCs w:val="16"/>
        </w:rPr>
      </w:pPr>
      <w:r>
        <w:rPr>
          <w:b/>
          <w:strike w:val="off"/>
          <w:sz w:val="16"/>
          <w:szCs w:val="16"/>
        </w:rPr>
        <w:t>Table 3. TiO</w:t>
      </w:r>
      <w:r>
        <w:rPr>
          <w:b/>
          <w:strike w:val="off"/>
          <w:sz w:val="16"/>
          <w:szCs w:val="16"/>
        </w:rPr>
        <w:t>₂과</w:t>
      </w:r>
      <w:r>
        <w:rPr>
          <w:b/>
          <w:strike w:val="off"/>
          <w:sz w:val="16"/>
          <w:szCs w:val="16"/>
        </w:rPr>
        <w:t xml:space="preserve"> 톨루엔의 광촉매 작용 후 수소를 이용한 전기에너지 장치 가동 여부</w:t>
      </w:r>
    </w:p>
    <w:tbl>
      <w:tblPr>
        <w:tblOverlap w:val="never"/>
        <w:tblW w:w="4490" w:type="dxa"/>
        <w:tblBorders>
          <w:top w:val="single" w:sz="3" w:space="0" w:color="000000"/>
          <w:left w:val="single" w:sz="3" w:space="0" w:color="000000"/>
          <w:bottom w:val="single" w:sz="3" w:space="0" w:color="000000"/>
          <w:right w:val="single" w:sz="3" w:space="0" w:color="000000"/>
        </w:tblBorders>
        <w:tblLook w:val="04A0" w:firstRow="1" w:lastRow="0" w:firstColumn="1" w:lastColumn="0" w:noHBand="0" w:noVBand="1"/>
        <w:tblLayout w:type="fixed"/>
        <w:tblCellMar>
          <w:top w:w="28" w:type="dxa"/>
          <w:left w:w="102" w:type="dxa"/>
          <w:bottom w:w="28" w:type="dxa"/>
          <w:right w:w="102" w:type="dxa"/>
        </w:tblCellMar>
      </w:tblPr>
      <w:tblGrid>
        <w:gridCol w:w="2245"/>
        <w:gridCol w:w="2245"/>
      </w:tblGrid>
      <w:tr>
        <w:trPr>
          <w:trHeight w:val="301" w:hRule="atLeast"/>
        </w:trPr>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시간(분, minute)</w:t>
            </w:r>
          </w:p>
        </w:tc>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가동 여부</w:t>
            </w:r>
          </w:p>
        </w:tc>
      </w:tr>
      <w:tr>
        <w:trPr>
          <w:trHeight w:val="301" w:hRule="atLeast"/>
        </w:trPr>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10</w:t>
            </w:r>
          </w:p>
        </w:tc>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작동하지 않음</w:t>
            </w:r>
          </w:p>
        </w:tc>
      </w:tr>
      <w:tr>
        <w:trPr>
          <w:trHeight w:val="301" w:hRule="atLeast"/>
        </w:trPr>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15</w:t>
            </w:r>
          </w:p>
        </w:tc>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작동하지 않음</w:t>
            </w:r>
          </w:p>
        </w:tc>
      </w:tr>
      <w:tr>
        <w:trPr>
          <w:trHeight w:val="301" w:hRule="atLeast"/>
        </w:trPr>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20</w:t>
            </w:r>
          </w:p>
        </w:tc>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작동하지 않음</w:t>
            </w:r>
          </w:p>
        </w:tc>
      </w:tr>
      <w:tr>
        <w:trPr>
          <w:trHeight w:val="301" w:hRule="atLeast"/>
        </w:trPr>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25</w:t>
            </w:r>
          </w:p>
        </w:tc>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작동하지 않음</w:t>
            </w:r>
          </w:p>
        </w:tc>
      </w:tr>
      <w:tr>
        <w:trPr>
          <w:trHeight w:val="301" w:hRule="atLeast"/>
        </w:trPr>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30</w:t>
            </w:r>
          </w:p>
        </w:tc>
        <w:tc>
          <w:tcPr>
            <w:tcW w:w="2245" w:type="dxa"/>
            <w:tcBorders>
              <w:top w:val="single" w:sz="3" w:space="0" w:color="000000"/>
              <w:left w:val="single" w:sz="3" w:space="0" w:color="000000"/>
              <w:bottom w:val="single" w:sz="3" w:space="0" w:color="000000"/>
              <w:right w:val="single" w:sz="3" w:space="0" w:color="000000"/>
            </w:tcBorders>
            <w:vAlign w:val="center"/>
          </w:tcPr>
          <w:p>
            <w:pPr>
              <w:pStyle w:val="b0"/>
              <w:widowControl w:val="off"/>
              <w:wordWrap/>
              <w:jc w:val="center"/>
              <w:spacing w:line="240"/>
              <w:rPr>
                <w:strike w:val="off"/>
                <w:sz w:val="16"/>
                <w:szCs w:val="16"/>
              </w:rPr>
            </w:pPr>
            <w:r>
              <w:rPr>
                <w:strike w:val="off"/>
                <w:sz w:val="16"/>
                <w:szCs w:val="16"/>
              </w:rPr>
              <w:t>작동하지 않음</w:t>
            </w:r>
          </w:p>
        </w:tc>
      </w:tr>
    </w:tbl>
    <w:p>
      <w:pPr>
        <w:pStyle w:val="b0"/>
        <w:widowControl w:val="off"/>
        <w:wordWrap/>
        <w:jc w:val="left"/>
      </w:pPr>
    </w:p>
    <w:p>
      <w:pPr>
        <w:pStyle w:val="TAMainText"/>
        <w:rPr>
          <w:lang w:eastAsia="ko-KR"/>
          <w:rFonts w:ascii="바탕" w:hAnsi="바탕" w:hint="eastAsia"/>
          <w:b/>
          <w:bCs/>
          <w:sz w:val="20"/>
          <w:rtl w:val="off"/>
        </w:rPr>
      </w:pPr>
    </w:p>
    <w:p>
      <w:pPr>
        <w:pStyle w:val="TAMainText"/>
        <w:rPr>
          <w:lang w:eastAsia="ko-KR"/>
          <w:rFonts w:ascii="함초롬바탕" w:eastAsia="함초롬바탕" w:hAnsi="함초롬바탕" w:cs="함초롬바탕" w:hint="eastAsia"/>
          <w:b/>
          <w:bCs/>
          <w:sz w:val="20"/>
          <w:u w:color="auto"/>
          <w:rtl w:val="off"/>
        </w:rPr>
      </w:pPr>
      <w:r>
        <w:rPr>
          <w:lang w:eastAsia="ko-KR"/>
          <w:rFonts w:ascii="함초롬바탕" w:eastAsia="함초롬바탕" w:hAnsi="함초롬바탕" w:cs="함초롬바탕"/>
          <w:b/>
          <w:bCs/>
          <w:sz w:val="20"/>
          <w:u w:color="auto"/>
          <w:rtl w:val="off"/>
        </w:rPr>
        <w:t>2.3. 토의</w:t>
      </w:r>
    </w:p>
    <w:p>
      <w:pPr>
        <w:pStyle w:val="b0"/>
        <w:widowControl w:val="off"/>
        <w:spacing w:line="240"/>
        <w:rPr>
          <w:strike w:val="off"/>
          <w:sz w:val="16"/>
          <w:szCs w:val="16"/>
        </w:rPr>
      </w:pPr>
      <w:r>
        <w:rPr>
          <w:lang w:eastAsia="ko-KR"/>
          <w:strike w:val="off"/>
          <w:sz w:val="16"/>
          <w:szCs w:val="16"/>
          <w:rtl w:val="off"/>
        </w:rPr>
        <w:t xml:space="preserve"> </w:t>
      </w:r>
      <w:r>
        <w:rPr>
          <w:strike w:val="off"/>
          <w:sz w:val="16"/>
          <w:szCs w:val="16"/>
        </w:rPr>
        <w:t>이 탐구는 폐수와 공업용수에 존재하며, 독성이 비교적으로 강해 정화되지 않은 상태에서 방류되었을 시 큰 영향을 초래할 수 있는 물질인 톨루엔을 분해 대상으로 선정하여 광촉매 분해 실험을 진행하였다. 톨루엔이 분해된 후 생성된 수소량을 용존 수소량으로 확인하거나, 일부 기체 형태로 방출된 수소 기체를 연소법으로 검출하여 추적할 수 있을지를 확인하고자 하였다. 또한 이후 생성된 수소를 수소 연료 전지에 투입하여 가동 여부를 판단함으로써 에너지원으로써의 사용 여부를 확인하려 하였다. 광촉매 반응 실험에서 광촉매 반응 후에 잔류하는 톨루엔의 양은 반응 후 용기의 뚜껑을 열어 생성된 기체가 충분히 뚜껑 밖으로 빠져나가도록 한 후 용기의 무게를 재측정하여 잔류 톨루엔의 양을 측정하였다. 또한 톨루엔의 비중을 이용하여 잔류량을 부피로 표시하였다. 용기 내의 무게 변화에 영향을 끼치는 요인으로는 반응 후 TiO</w:t>
      </w:r>
      <w:r>
        <w:rPr>
          <w:strike w:val="off"/>
          <w:sz w:val="16"/>
          <w:szCs w:val="16"/>
        </w:rPr>
        <w:t>₂의</w:t>
      </w:r>
      <w:r>
        <w:rPr>
          <w:strike w:val="off"/>
          <w:sz w:val="16"/>
          <w:szCs w:val="16"/>
        </w:rPr>
        <w:t xml:space="preserve"> 무게 변화와 톨루엔 자체의 휘발에 의한 손실을 고려할 수 있었다. 반응하고 남은 톨루엔의 양은 반응시간이 지남에 따라 줄어든 반면에 반응에 참여하는 TiO</w:t>
      </w:r>
      <w:r>
        <w:rPr>
          <w:strike w:val="off"/>
          <w:sz w:val="16"/>
          <w:szCs w:val="16"/>
        </w:rPr>
        <w:t>₂는</w:t>
      </w:r>
      <w:r>
        <w:rPr>
          <w:strike w:val="off"/>
          <w:sz w:val="16"/>
          <w:szCs w:val="16"/>
        </w:rPr>
        <w:t xml:space="preserve"> 광촉매제로써 질량은 거의 일정한 것으로 보고되고 있다. 또한 반응 시 톨루엔의 증기압은 3.5kPa인 휘발성 물질이지만, 23.7도의 기온에서 뚜껑이 있는 용기에서 진행하는 실험이었기 때문에 30분 이내 휘발성 손실은 거의 일어나지 않았을 것으로 고려되었다. 즉, TiO</w:t>
      </w:r>
      <w:r>
        <w:rPr>
          <w:strike w:val="off"/>
          <w:sz w:val="16"/>
          <w:szCs w:val="16"/>
        </w:rPr>
        <w:t>₂를</w:t>
      </w:r>
      <w:r>
        <w:rPr>
          <w:strike w:val="off"/>
          <w:sz w:val="16"/>
          <w:szCs w:val="16"/>
        </w:rPr>
        <w:t xml:space="preserve"> 광촉매제로 사용하여 톨루엔을 UV로 반응시켰을 때, 잔류 톨루엔의 양의 감소 현상은 오염물질인 톨루엔이 광촉매 반응을 통해 효과적으로 분해된다는 사실을 알려준다. 광촉매 반응은 빛에너지가 주 에너지원으로 이용되며, 이 탐구에서 사용한 UV램프의 파장은 395</w:t>
      </w:r>
      <w:r>
        <w:rPr>
          <w:strike w:val="off"/>
          <w:sz w:val="16"/>
          <w:szCs w:val="16"/>
        </w:rPr>
        <w:t>㎚를</w:t>
      </w:r>
      <w:r>
        <w:rPr>
          <w:strike w:val="off"/>
          <w:sz w:val="16"/>
          <w:szCs w:val="16"/>
        </w:rPr>
        <w:t xml:space="preserve"> 사용하였으나, 효과적인 에너지파장으로 365</w:t>
      </w:r>
      <w:r>
        <w:rPr>
          <w:strike w:val="off"/>
          <w:sz w:val="16"/>
          <w:szCs w:val="16"/>
        </w:rPr>
        <w:t>㎚이하의</w:t>
      </w:r>
      <w:r>
        <w:rPr>
          <w:strike w:val="off"/>
          <w:sz w:val="16"/>
          <w:szCs w:val="16"/>
        </w:rPr>
        <w:t xml:space="preserve"> 파장을 사용하는 것이 더 고려된다. 실험 당시의 기온은 23.7도로, 비록 실험 온도가 높을수록 확산 속도가 증가하여 광촉매 활성이 증가하지만, 기온이 너무 높은 경우(50도 이상)에 톨루엔의 증기압이 증가하므로, 촉매 표면에 대한 접촉 감소에 의해 효율이 떨어질 수 있음을 고려해야 한다. 또한 사용한 광강도는 0.5W로, 광강도가 높아져 광자가 많은 경우 전자, 정공 생성량이 증가해서 반응 속도의 증가에 유리하지만, 너무 많은 광자는 재결합(</w:t>
      </w:r>
      <w:r>
        <w:rPr>
          <w:strike w:val="off"/>
          <w:sz w:val="16"/>
          <w:szCs w:val="16"/>
          <w:shd w:val="clear" w:color="000000" w:fill="auto"/>
        </w:rPr>
        <w:t>e</w:t>
      </w:r>
      <w:r>
        <w:rPr>
          <w:strike w:val="off"/>
          <w:sz w:val="16"/>
          <w:szCs w:val="16"/>
          <w:shd w:val="clear" w:color="000000" w:fill="auto"/>
        </w:rPr>
        <w:t>⁻</w:t>
      </w:r>
      <w:r>
        <w:rPr>
          <w:strike w:val="off"/>
          <w:sz w:val="16"/>
          <w:szCs w:val="16"/>
          <w:shd w:val="clear" w:color="000000" w:fill="auto"/>
        </w:rPr>
        <w:t xml:space="preserve"> + h</w:t>
      </w:r>
      <w:r>
        <w:rPr>
          <w:strike w:val="off"/>
          <w:sz w:val="16"/>
          <w:szCs w:val="16"/>
          <w:shd w:val="clear" w:color="000000" w:fill="auto"/>
        </w:rPr>
        <w:t>⁺</w:t>
      </w:r>
      <w:r>
        <w:rPr>
          <w:strike w:val="off"/>
          <w:sz w:val="16"/>
          <w:szCs w:val="16"/>
          <w:shd w:val="clear" w:color="000000" w:fill="auto"/>
        </w:rPr>
        <w:t>)</w:t>
      </w:r>
      <w:r>
        <w:rPr>
          <w:strike w:val="off"/>
          <w:sz w:val="16"/>
          <w:szCs w:val="16"/>
        </w:rPr>
        <w:t xml:space="preserve">이 많아져 효율이 오히려 낮아질 수 있다. </w:t>
      </w:r>
    </w:p>
    <w:p>
      <w:pPr>
        <w:pStyle w:val="b0"/>
        <w:widowControl w:val="off"/>
        <w:spacing w:line="240"/>
        <w:rPr>
          <w:strike w:val="off"/>
          <w:sz w:val="16"/>
          <w:szCs w:val="16"/>
        </w:rPr>
      </w:pPr>
    </w:p>
    <w:p>
      <w:pPr>
        <w:pStyle w:val="b0"/>
        <w:widowControl w:val="off"/>
        <w:spacing w:line="240"/>
        <w:rPr>
          <w:strike w:val="off"/>
          <w:sz w:val="16"/>
          <w:szCs w:val="16"/>
        </w:rPr>
      </w:pPr>
      <w:r>
        <w:rPr>
          <w:lang w:eastAsia="ko-KR"/>
          <w:strike w:val="off"/>
          <w:sz w:val="16"/>
          <w:szCs w:val="16"/>
          <w:rtl w:val="off"/>
        </w:rPr>
        <w:t xml:space="preserve"> </w:t>
      </w:r>
      <w:r>
        <w:rPr>
          <w:strike w:val="off"/>
          <w:sz w:val="16"/>
          <w:szCs w:val="16"/>
        </w:rPr>
        <w:t>이 탐구에서는 톨루엔의 광촉매 반응 후 수소생성 여부를 확인하기 위해 불이 꺼진 성냥을 넣었을 때, 불이 되살아나고 오히려 폭발로 이어지는 것을 관찰하였다. 하지만, 용존 수소량의 유의미한 계측 측정 실패와 수소연료전지 키트를 통한 전기에너지 생성 여부를 확인한 실험에서 수소생성을 유의미하게 확인할 수는 없었다. 이런 결과를 통해, 톨루엔의 이산화 티타늄과의 광촉매 작용에 의해 생성되는 부산물 중 수소는 극히 일부로 생각된다. 그러나, 불이 꺼진 성냥에 대한 재발화 결과는 용기내의 잔류 산소 및 산소 라디칼와 내부에 존재하는 CO, H</w:t>
      </w:r>
      <w:r>
        <w:rPr>
          <w:strike w:val="off"/>
          <w:sz w:val="16"/>
          <w:szCs w:val="16"/>
          <w:vertAlign w:val="subscript"/>
        </w:rPr>
        <w:t>2</w:t>
      </w:r>
      <w:r>
        <w:rPr>
          <w:strike w:val="off"/>
          <w:sz w:val="16"/>
          <w:szCs w:val="16"/>
        </w:rPr>
        <w:t>, 톨루엔 증기 같은 가연성 기체가 존재하였기 때문으로 생각된다. 또한 용기</w:t>
      </w:r>
      <w:r>
        <w:rPr>
          <w:lang w:eastAsia="ko-KR"/>
          <w:strike w:val="off"/>
          <w:sz w:val="16"/>
          <w:szCs w:val="16"/>
          <w:rtl w:val="off"/>
        </w:rPr>
        <w:t xml:space="preserve"> </w:t>
      </w:r>
      <w:r>
        <w:rPr>
          <w:strike w:val="off"/>
          <w:sz w:val="16"/>
          <w:szCs w:val="16"/>
        </w:rPr>
        <w:t>내에 수소가 거의 생성되지 않은 이유에 대해서는 용기</w:t>
      </w:r>
      <w:r>
        <w:rPr>
          <w:lang w:eastAsia="ko-KR"/>
          <w:strike w:val="off"/>
          <w:sz w:val="16"/>
          <w:szCs w:val="16"/>
          <w:rtl w:val="off"/>
        </w:rPr>
        <w:t xml:space="preserve"> </w:t>
      </w:r>
      <w:r>
        <w:rPr>
          <w:strike w:val="off"/>
          <w:sz w:val="16"/>
          <w:szCs w:val="16"/>
        </w:rPr>
        <w:t xml:space="preserve">내에 산소가 </w:t>
      </w:r>
      <w:r>
        <w:rPr>
          <w:lang w:eastAsia="ko-KR"/>
          <w:strike w:val="off"/>
          <w:sz w:val="16"/>
          <w:szCs w:val="16"/>
          <w:rtl w:val="off"/>
        </w:rPr>
        <w:t>존재하였</w:t>
      </w:r>
      <w:r>
        <w:rPr>
          <w:strike w:val="off"/>
          <w:sz w:val="16"/>
          <w:szCs w:val="16"/>
        </w:rPr>
        <w:t xml:space="preserve">기 때문으로 생각된다. 그 이유는 반응을 통해 발생한 </w:t>
      </w:r>
      <w:r>
        <w:rPr>
          <w:strike w:val="off"/>
          <w:sz w:val="16"/>
          <w:szCs w:val="16"/>
          <w:shd w:val="clear" w:color="000000" w:fill="auto"/>
        </w:rPr>
        <w:t>전자(e</w:t>
      </w:r>
      <w:r>
        <w:rPr>
          <w:strike w:val="off"/>
          <w:sz w:val="16"/>
          <w:szCs w:val="16"/>
          <w:shd w:val="clear" w:color="000000" w:fill="auto"/>
        </w:rPr>
        <w:t>⁻</w:t>
      </w:r>
      <w:r>
        <w:rPr>
          <w:strike w:val="off"/>
          <w:sz w:val="16"/>
          <w:szCs w:val="16"/>
          <w:shd w:val="clear" w:color="000000" w:fill="auto"/>
        </w:rPr>
        <w:t>)가 주로 산소(O</w:t>
      </w:r>
      <w:r>
        <w:rPr>
          <w:strike w:val="off"/>
          <w:sz w:val="16"/>
          <w:szCs w:val="16"/>
          <w:shd w:val="clear" w:color="000000" w:fill="auto"/>
        </w:rPr>
        <w:t>₂</w:t>
      </w:r>
      <w:r>
        <w:rPr>
          <w:strike w:val="off"/>
          <w:sz w:val="16"/>
          <w:szCs w:val="16"/>
          <w:shd w:val="clear" w:color="000000" w:fill="auto"/>
        </w:rPr>
        <w:t>)를 환원하는 데 쓰이고 과산화물/라디칼을 만들기 때문이다. 반면에 H</w:t>
      </w:r>
      <w:r>
        <w:rPr>
          <w:strike w:val="off"/>
          <w:sz w:val="16"/>
          <w:szCs w:val="16"/>
          <w:shd w:val="clear" w:color="000000" w:fill="auto"/>
        </w:rPr>
        <w:t>⁺</w:t>
      </w:r>
      <w:r>
        <w:rPr>
          <w:strike w:val="off"/>
          <w:sz w:val="16"/>
          <w:szCs w:val="16"/>
          <w:shd w:val="clear" w:color="000000" w:fill="auto"/>
        </w:rPr>
        <w:t xml:space="preserve"> 환원을 통해 H</w:t>
      </w:r>
      <w:r>
        <w:rPr>
          <w:strike w:val="off"/>
          <w:sz w:val="16"/>
          <w:szCs w:val="16"/>
          <w:shd w:val="clear" w:color="000000" w:fill="auto"/>
        </w:rPr>
        <w:t>₂가</w:t>
      </w:r>
      <w:r>
        <w:rPr>
          <w:strike w:val="off"/>
          <w:sz w:val="16"/>
          <w:szCs w:val="16"/>
          <w:shd w:val="clear" w:color="000000" w:fill="auto"/>
        </w:rPr>
        <w:t xml:space="preserve"> 만들어지지 않기 때문이다. 따라서, 이를 방지하고 효과적인 수소의 생성을 위해서는 진공 상태에서 실험을 진행하고, H</w:t>
      </w:r>
      <w:r>
        <w:rPr>
          <w:strike w:val="off"/>
          <w:sz w:val="16"/>
          <w:szCs w:val="16"/>
          <w:shd w:val="clear" w:color="000000" w:fill="auto"/>
        </w:rPr>
        <w:t>₂</w:t>
      </w:r>
      <w:r>
        <w:rPr>
          <w:strike w:val="off"/>
          <w:sz w:val="16"/>
          <w:szCs w:val="16"/>
          <w:shd w:val="clear" w:color="000000" w:fill="auto"/>
        </w:rPr>
        <w:t xml:space="preserve"> 생성을 촉진하는 보조 촉매 등을 사용할 수 있다, 또한 알코올 등의 용액을 용기에 섞어서 전자를 추가로 공급받을 수 있는 상태에서 실험하는 것이 수소를 얻는 데 유리할 것이다. 하지만, 이상적인 조건에서 톨루엔의 광촉매 반응으로 수소를 만들기 위해서는 발생하는 수소량에 비례하여 많은 빛에너지의 조사가 필요하다. 이러한 빛에너지를 통해 만들어진 수소를 이용하여 전기에너지로 전환하는 것은 매우 유익한 과정이나 생성된 수소를 통해 만들 수 있는 전기에너지의 양은 제한이 있기 때문에 오히려 수소를 생성하는 데 소요되는 빛에너지가 이를 통해 만들어지는 전기에너지보다 훨씬 많이 필요할 것으로 생각되어, 결과적으로 에너지 수지면에서는 불리할 수 있다. 이런 이유로 톨루엔의 광촉매 반응을 통한 수소의 생성보다는 광촉매를 이용한 광산화 반응을 통한 오염물질인 톨루엔의 무해화가 더욱 중요할 수 있다. 톨루엔은 산소 하에서 다음의 광산화 과정을 거쳐 최종 산화되며, 오염물질에서 무해한 물질로 분해된다(Fig. 5). 이러한 라디칼 산화 과정을 거쳐 최종적으로 CO</w:t>
      </w:r>
      <w:r>
        <w:rPr>
          <w:strike w:val="off"/>
          <w:sz w:val="16"/>
          <w:szCs w:val="16"/>
          <w:shd w:val="clear" w:color="000000" w:fill="auto"/>
        </w:rPr>
        <w:t>₂와</w:t>
      </w:r>
      <w:r>
        <w:rPr>
          <w:strike w:val="off"/>
          <w:sz w:val="16"/>
          <w:szCs w:val="16"/>
          <w:shd w:val="clear" w:color="000000" w:fill="auto"/>
        </w:rPr>
        <w:t xml:space="preserve"> H</w:t>
      </w:r>
      <w:r>
        <w:rPr>
          <w:strike w:val="off"/>
          <w:sz w:val="16"/>
          <w:szCs w:val="16"/>
          <w:shd w:val="clear" w:color="000000" w:fill="auto"/>
        </w:rPr>
        <w:t>₂</w:t>
      </w:r>
      <w:r>
        <w:rPr>
          <w:strike w:val="off"/>
          <w:sz w:val="16"/>
          <w:szCs w:val="16"/>
          <w:shd w:val="clear" w:color="000000" w:fill="auto"/>
        </w:rPr>
        <w:t xml:space="preserve">O로 완전 분해된다. 이 과정을 photocatalytic mineralization (광촉매적 무기화) 라고 한다. </w:t>
      </w:r>
    </w:p>
    <w:p>
      <w:pPr>
        <w:pStyle w:val="b0"/>
        <w:widowControl w:val="off"/>
        <w:spacing w:line="240"/>
        <w:rPr>
          <w:strike w:val="off"/>
          <w:color w:val="000000"/>
          <w:sz w:val="16"/>
          <w:szCs w:val="16"/>
          <w:shd w:val="clear" w:color="000000" w:fill="auto"/>
        </w:rPr>
      </w:pPr>
    </w:p>
    <w:p>
      <w:pPr>
        <w:pStyle w:val="b0"/>
        <w:widowControl w:val="off"/>
        <w:spacing w:line="240" w:lineRule="auto"/>
        <w:rPr>
          <w:strike w:val="off"/>
          <w:sz w:val="16"/>
          <w:szCs w:val="16"/>
        </w:rPr>
      </w:pPr>
      <w:r>
        <w:rPr>
          <w:strike w:val="off"/>
          <w:sz w:val="16"/>
          <w:szCs w:val="16"/>
        </w:rPr>
        <w:drawing>
          <wp:anchor distT="0" distB="0" distL="0" distR="0" behindDoc="0" locked="0" layoutInCell="1" simplePos="0" relativeHeight="251664384" allowOverlap="1" hidden="0">
            <wp:simplePos x="0" y="0"/>
            <wp:positionH relativeFrom="column">
              <wp:posOffset>72644</wp:posOffset>
            </wp:positionH>
            <wp:positionV relativeFrom="paragraph">
              <wp:posOffset>0</wp:posOffset>
            </wp:positionV>
            <wp:extent cx="1993138" cy="2788285"/>
            <wp:effectExtent l="0" t="0" r="0" b="0"/>
            <wp:wrapSquare wrapText="bothSides"/>
            <wp:docPr id="1029" name="shape1029" hidden="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a:picLocks/>
                    </pic:cNvPicPr>
                  </pic:nvPicPr>
                  <pic:blipFill>
                    <a:blip r:embed="rId5">
                      <a:extLst>
                        <a:ext uri="{28A0092B-C50C-407E-A947-70E740481C1C}">
                          <a14:useLocalDpi xmlns:a14="http://schemas.microsoft.com/office/drawing/2010/main" val="0"/>
                        </a:ext>
                      </a:extLst>
                    </a:blip>
                    <a:srcRect/>
                    <a:stretch>
                      <a:fillRect/>
                    </a:stretch>
                  </pic:blipFill>
                  <pic:spPr>
                    <a:xfrm>
                      <a:off x="0" y="0"/>
                      <a:ext cx="1993138" cy="2788285"/>
                    </a:xfrm>
                    <a:prstGeom prst="rect"/>
                  </pic:spPr>
                </pic:pic>
              </a:graphicData>
            </a:graphic>
          </wp:anchor>
        </w:drawing>
      </w:r>
      <w:r>
        <w:rPr>
          <w:strike w:val="off"/>
          <w:sz w:val="16"/>
          <w:szCs w:val="16"/>
        </w:rPr>
        <w:br/>
      </w:r>
    </w:p>
    <w:p>
      <w:pPr>
        <w:pStyle w:val="b0"/>
        <w:widowControl w:val="off"/>
        <w:spacing w:line="240"/>
        <w:rPr>
          <w:strike w:val="off"/>
          <w:color w:val="000000"/>
          <w:sz w:val="16"/>
          <w:szCs w:val="16"/>
          <w:shd w:val="clear" w:color="000000" w:fill="auto"/>
        </w:rPr>
      </w:pPr>
    </w:p>
    <w:p>
      <w:pPr>
        <w:pStyle w:val="b0"/>
        <w:widowControl w:val="off"/>
        <w:spacing w:line="240"/>
        <w:rPr>
          <w:strike w:val="off"/>
          <w:color w:val="000000"/>
          <w:sz w:val="16"/>
          <w:szCs w:val="16"/>
          <w:shd w:val="clear" w:color="000000" w:fill="auto"/>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wordWrap/>
        <w:jc w:val="left"/>
        <w:spacing w:line="240"/>
        <w:rPr>
          <w:b/>
          <w:strike w:val="off"/>
          <w:color w:val="000000"/>
          <w:sz w:val="16"/>
          <w:szCs w:val="16"/>
        </w:rPr>
      </w:pPr>
    </w:p>
    <w:p>
      <w:pPr>
        <w:pStyle w:val="b0"/>
        <w:widowControl w:val="off"/>
        <w:spacing w:line="240"/>
        <w:rPr>
          <w:b/>
          <w:strike w:val="off"/>
          <w:color w:val="000000"/>
          <w:sz w:val="16"/>
          <w:szCs w:val="16"/>
        </w:rPr>
      </w:pPr>
      <w:r>
        <w:rPr>
          <w:b/>
          <w:strike w:val="off"/>
          <w:sz w:val="16"/>
          <w:szCs w:val="16"/>
        </w:rPr>
        <w:t xml:space="preserve">Figure 5. 톨루엔의 광산화 경로. </w:t>
      </w:r>
      <w:r>
        <w:rPr>
          <w:strike w:val="off"/>
          <w:sz w:val="16"/>
          <w:szCs w:val="16"/>
        </w:rPr>
        <w:t>벤질 라디칼 생성 -&gt; 벤젠 알코올-&gt; 벤즈 알데하이드 -&gt; 벤조산 -&gt; 최종산화물(</w:t>
      </w:r>
      <w:r>
        <w:rPr>
          <w:strike w:val="off"/>
          <w:sz w:val="16"/>
          <w:szCs w:val="16"/>
          <w:shd w:val="clear" w:color="000000" w:fill="auto"/>
        </w:rPr>
        <w:t>CO</w:t>
      </w:r>
      <w:r>
        <w:rPr>
          <w:strike w:val="off"/>
          <w:sz w:val="16"/>
          <w:szCs w:val="16"/>
          <w:shd w:val="clear" w:color="000000" w:fill="auto"/>
        </w:rPr>
        <w:t>₂</w:t>
      </w:r>
      <w:r>
        <w:rPr>
          <w:strike w:val="off"/>
          <w:sz w:val="16"/>
          <w:szCs w:val="16"/>
          <w:shd w:val="clear" w:color="000000" w:fill="auto"/>
        </w:rPr>
        <w:t>, H</w:t>
      </w:r>
      <w:r>
        <w:rPr>
          <w:strike w:val="off"/>
          <w:sz w:val="16"/>
          <w:szCs w:val="16"/>
          <w:shd w:val="clear" w:color="000000" w:fill="auto"/>
        </w:rPr>
        <w:t>₂</w:t>
      </w:r>
      <w:r>
        <w:rPr>
          <w:strike w:val="off"/>
          <w:sz w:val="16"/>
          <w:szCs w:val="16"/>
          <w:shd w:val="clear" w:color="000000" w:fill="auto"/>
        </w:rPr>
        <w:t>O)</w:t>
      </w:r>
    </w:p>
    <w:p>
      <w:pPr>
        <w:pStyle w:val="b0"/>
        <w:widowControl w:val="off"/>
        <w:spacing w:line="240"/>
        <w:rPr>
          <w:lang w:eastAsia="ko-KR"/>
          <w:rFonts w:ascii="바탕" w:hAnsi="바탕" w:hint="eastAsia"/>
          <w:b/>
          <w:bCs/>
          <w:sz w:val="20"/>
          <w:rtl w:val="off"/>
        </w:rPr>
      </w:pPr>
      <w:r>
        <w:rPr>
          <w:lang w:eastAsia="ko-KR"/>
          <w:strike w:val="off"/>
          <w:sz w:val="16"/>
          <w:szCs w:val="16"/>
          <w:shd w:val="clear" w:color="000000" w:fill="auto"/>
          <w:rtl w:val="off"/>
        </w:rPr>
        <w:t xml:space="preserve"> </w:t>
      </w:r>
      <w:r>
        <w:rPr>
          <w:strike w:val="off"/>
          <w:sz w:val="16"/>
          <w:szCs w:val="16"/>
          <w:shd w:val="clear" w:color="000000" w:fill="auto"/>
        </w:rPr>
        <w:t>이 탐구에서는 실험의 여러 조건상 몇 가지 한계점이 존재한다. 첫째, 사용된 UV 램프의 파장이 395</w:t>
      </w:r>
      <w:r>
        <w:rPr>
          <w:strike w:val="off"/>
          <w:sz w:val="16"/>
          <w:szCs w:val="16"/>
        </w:rPr>
        <w:t>㎚</w:t>
      </w:r>
      <w:r>
        <w:rPr>
          <w:strike w:val="off"/>
          <w:sz w:val="16"/>
          <w:szCs w:val="16"/>
          <w:shd w:val="clear" w:color="000000" w:fill="auto"/>
        </w:rPr>
        <w:t>로 TiO</w:t>
      </w:r>
      <w:r>
        <w:rPr>
          <w:strike w:val="off"/>
          <w:sz w:val="16"/>
          <w:szCs w:val="16"/>
          <w:shd w:val="clear" w:color="000000" w:fill="auto"/>
        </w:rPr>
        <w:t>₂의</w:t>
      </w:r>
      <w:r>
        <w:rPr>
          <w:strike w:val="off"/>
          <w:sz w:val="16"/>
          <w:szCs w:val="16"/>
          <w:shd w:val="clear" w:color="000000" w:fill="auto"/>
        </w:rPr>
        <w:t xml:space="preserve"> 전자-정공 쌍의 형성이 충분히 일어나지 않았을 가능성이 높다. 따라서 광자 에너지가 부족하여 라디칼 생성 및 톨루엔의 산화 반응이 충분히 진행되지 못했을 수 있다. 둘째, 반응 용기 내부에 산소가 존재하는 상태에서 실험이 이루어졌기 때문에 생성된 전자가 대부분 산소 환원 반응에 사용되어 과산화물이나 라디칼을 형성했을 것으로 판단된다. 이로 인해 수소 환원 반응으로 이어지는 전자의 공급이 제한되어, 결과적으로 수소 발생량이 극히 미량이었을 것으로 보인다. 셋째, 수소 검출 방법이 주로 정성적 관찰(성냥 재점화)과 용존수소 측정기에 의존했기 때문에, 실제 생성된 수소의 극미량을 정밀하게 검출하기에는 한계가 있었다. 향후에는 기체 크로마토그래피 등의 정량적 분석기법을 도입하여 보다 정확한 수소 발생량을 측정할 필요가 있다.</w:t>
      </w:r>
    </w:p>
    <w:p>
      <w:pPr>
        <w:pStyle w:val="TAMainText"/>
        <w:rPr>
          <w:lang w:eastAsia="ko-KR"/>
          <w:rFonts w:ascii="바탕" w:hAnsi="바탕" w:hint="eastAsia"/>
          <w:b/>
          <w:bCs/>
          <w:sz w:val="20"/>
          <w:rtl w:val="off"/>
        </w:rPr>
      </w:pPr>
    </w:p>
    <w:p>
      <w:pPr>
        <w:pStyle w:val="SectionTitle"/>
        <w:rPr>
          <w:lang w:eastAsia="ko-KR"/>
          <w:rFonts w:ascii="바탕" w:hAnsi="바탕" w:hint="eastAsia"/>
          <w:b/>
          <w:bCs/>
          <w:rtl w:val="off"/>
        </w:rPr>
      </w:pPr>
      <w:r>
        <w:rPr>
          <w:lang w:eastAsia="ko-KR"/>
          <w:rFonts w:ascii="함초롬바탕" w:eastAsia="함초롬바탕" w:hAnsi="함초롬바탕" w:cs="함초롬바탕" w:hint="eastAsia"/>
          <w:b/>
          <w:bCs/>
          <w:u w:color="auto"/>
          <w:rtl w:val="off"/>
        </w:rPr>
        <w:t>Ⅲ. 결론 및 제언</w:t>
      </w:r>
    </w:p>
    <w:p>
      <w:pPr>
        <w:pStyle w:val="b0"/>
        <w:widowControl w:val="off"/>
        <w:wordWrap/>
        <w:jc w:val="left"/>
        <w:spacing w:line="240"/>
        <w:rPr>
          <w:lang w:eastAsia="ko-KR"/>
          <w:rFonts w:ascii="바탕" w:hAnsi="바탕" w:hint="eastAsia"/>
          <w:b/>
          <w:bCs/>
          <w:rtl w:val="off"/>
        </w:rPr>
      </w:pPr>
      <w:r>
        <w:rPr>
          <w:lang w:eastAsia="ko-KR"/>
          <w:rFonts w:ascii="함초롬바탕" w:eastAsia="함초롬바탕" w:hAnsi="함초롬바탕" w:cs="함초롬바탕" w:hint="default"/>
          <w:strike w:val="off"/>
          <w:sz w:val="16"/>
          <w:szCs w:val="16"/>
          <w:u w:color="auto"/>
          <w:shd w:val="clear" w:color="000000" w:fill="auto"/>
          <w:rtl w:val="off"/>
        </w:rPr>
        <w:t xml:space="preserve"> </w:t>
      </w:r>
      <w:r>
        <w:rPr>
          <w:rFonts w:ascii="함초롬바탕" w:eastAsia="함초롬바탕" w:hAnsi="함초롬바탕" w:cs="함초롬바탕" w:hint="default"/>
          <w:strike w:val="off"/>
          <w:sz w:val="16"/>
          <w:szCs w:val="16"/>
          <w:u w:color="auto"/>
          <w:shd w:val="clear" w:color="000000" w:fill="auto"/>
        </w:rPr>
        <w:t>이 탐구는 이산화 티타늄(TiO</w:t>
      </w:r>
      <w:r>
        <w:rPr>
          <w:rFonts w:ascii="함초롬바탕" w:eastAsia="함초롬바탕" w:hAnsi="함초롬바탕" w:cs="함초롬바탕" w:hint="default"/>
          <w:strike w:val="off"/>
          <w:sz w:val="16"/>
          <w:szCs w:val="16"/>
          <w:u w:color="auto"/>
          <w:shd w:val="clear" w:color="000000" w:fill="auto"/>
        </w:rPr>
        <w:t>₂</w:t>
      </w:r>
      <w:r>
        <w:rPr>
          <w:rFonts w:ascii="함초롬바탕" w:eastAsia="함초롬바탕" w:hAnsi="함초롬바탕" w:cs="함초롬바탕" w:hint="default"/>
          <w:strike w:val="off"/>
          <w:sz w:val="16"/>
          <w:szCs w:val="16"/>
          <w:u w:color="auto"/>
          <w:shd w:val="clear" w:color="000000" w:fill="auto"/>
        </w:rPr>
        <w:t>)을 이용한 광촉매 반응을 통해 오염물질인 톨루엔을 분해하고, 생성된 부산물 중 수소의 존재</w:t>
      </w:r>
      <w:r>
        <w:rPr>
          <w:lang w:eastAsia="ko-KR"/>
          <w:rFonts w:ascii="함초롬바탕" w:eastAsia="함초롬바탕" w:hAnsi="함초롬바탕" w:cs="함초롬바탕" w:hint="default"/>
          <w:strike w:val="off"/>
          <w:sz w:val="16"/>
          <w:szCs w:val="16"/>
          <w:u w:color="auto"/>
          <w:shd w:val="clear" w:color="000000" w:fill="auto"/>
          <w:rtl w:val="off"/>
        </w:rPr>
        <w:t xml:space="preserve"> </w:t>
      </w:r>
      <w:r>
        <w:rPr>
          <w:rFonts w:ascii="함초롬바탕" w:eastAsia="함초롬바탕" w:hAnsi="함초롬바탕" w:cs="함초롬바탕" w:hint="default"/>
          <w:strike w:val="off"/>
          <w:sz w:val="16"/>
          <w:szCs w:val="16"/>
          <w:u w:color="auto"/>
          <w:shd w:val="clear" w:color="000000" w:fill="auto"/>
        </w:rPr>
        <w:t>가능성과 그 활용 가능성을 확인하고자 하였다. 실험 결과, 톨루엔의 잔류량이 시간에 따라 감소하는 경향을 보여 광촉매 반응에 의한 유의미한 분해가 일어남을 확인하였다. 그러나 수소의 생성은 측정기기로 검출되지 않았으며, 연료전지 구동 또한 불가능하였다. 이는 광촉매 반응이 주로 산화 반응으로 진행되어 수소보다는 라디칼과 산화생성물이 주로 형성되었기 때문으로 판단된다. 따라서 본 탐구는 톨루엔을 비롯한 유기 오염물질이 TiO</w:t>
      </w:r>
      <w:r>
        <w:rPr>
          <w:rFonts w:ascii="함초롬바탕" w:eastAsia="함초롬바탕" w:hAnsi="함초롬바탕" w:cs="함초롬바탕" w:hint="default"/>
          <w:strike w:val="off"/>
          <w:sz w:val="16"/>
          <w:szCs w:val="16"/>
          <w:u w:color="auto"/>
          <w:shd w:val="clear" w:color="000000" w:fill="auto"/>
        </w:rPr>
        <w:t>₂</w:t>
      </w:r>
      <w:r>
        <w:rPr>
          <w:rFonts w:ascii="함초롬바탕" w:eastAsia="함초롬바탕" w:hAnsi="함초롬바탕" w:cs="함초롬바탕" w:hint="default"/>
          <w:strike w:val="off"/>
          <w:sz w:val="16"/>
          <w:szCs w:val="16"/>
          <w:u w:color="auto"/>
          <w:shd w:val="clear" w:color="000000" w:fill="auto"/>
        </w:rPr>
        <w:t xml:space="preserve"> 기반 광촉매에 의해 효과적으로 산화·분해될 수 있음을 실험적으로 보여주었으며, 이 과정에서 얻는 수소의 양은 극히 미미하여 에너지원으로 활용하기는 어렵다는 결론에 도달하였다. 향후에는 진공 또는 무산소 조건, Pt 등의 보조 촉매, LED보다 짧은 파장의 광원을 적용함으로써 수소 발생 효율을 향상시킬 수 있을 것이다. 궁극적으로, 본 연구는 광촉매 반응이 오염물질의 환경적 무해화에 더 효과적으로 활용될 수 있음을 확인한 탐구라 할 수 있다.</w:t>
      </w:r>
    </w:p>
    <w:p>
      <w:pPr>
        <w:pStyle w:val="SectionTitle"/>
        <w:rPr>
          <w:lang w:eastAsia="ko-KR"/>
          <w:rFonts w:ascii="바탕" w:hAnsi="바탕" w:hint="eastAsia"/>
          <w:b/>
          <w:bCs/>
          <w:rtl w:val="off"/>
        </w:rPr>
      </w:pPr>
      <w:r>
        <w:rPr>
          <w:lang w:eastAsia="ko-KR"/>
          <w:rFonts w:ascii="함초롬바탕" w:eastAsia="함초롬바탕" w:hAnsi="함초롬바탕" w:cs="함초롬바탕" w:hint="eastAsia"/>
          <w:b/>
          <w:bCs/>
          <w:u w:color="auto"/>
          <w:rtl w:val="off"/>
        </w:rPr>
        <w:t>Ⅳ. 참고문헌</w:t>
      </w:r>
    </w:p>
    <w:p>
      <w:pPr>
        <w:rPr>
          <w:lang w:eastAsia="ko-KR"/>
          <w:rFonts w:ascii="함초롬바탕" w:eastAsia="함초롬바탕" w:hAnsi="함초롬바탕" w:cs="함초롬바탕" w:hint="eastAsia"/>
          <w:sz w:val="12"/>
          <w:szCs w:val="12"/>
          <w:u w:color="auto"/>
          <w:rtl w:val="off"/>
        </w:rPr>
      </w:pPr>
      <w:r>
        <w:rPr>
          <w:lang w:eastAsia="ko-KR"/>
          <w:rFonts w:ascii="함초롬바탕" w:eastAsia="함초롬바탕" w:hAnsi="함초롬바탕" w:cs="함초롬바탕" w:hint="default"/>
          <w:sz w:val="12"/>
          <w:szCs w:val="12"/>
          <w:u w:color="auto"/>
          <w:rtl w:val="off"/>
        </w:rPr>
        <w:t xml:space="preserve">1. </w:t>
      </w:r>
      <w:r>
        <w:rPr>
          <w:rFonts w:ascii="함초롬바탕" w:eastAsia="함초롬바탕" w:hAnsi="함초롬바탕" w:cs="함초롬바탕" w:hint="default"/>
          <w:sz w:val="12"/>
          <w:szCs w:val="12"/>
          <w:u w:color="auto"/>
        </w:rPr>
        <w:t>주현규·전명석·이태규</w:t>
      </w:r>
      <w:r>
        <w:rPr>
          <w:lang w:eastAsia="ko-KR"/>
          <w:rFonts w:ascii="함초롬바탕" w:eastAsia="함초롬바탕" w:hAnsi="함초롬바탕" w:cs="함초롬바탕" w:hint="default"/>
          <w:sz w:val="12"/>
          <w:szCs w:val="12"/>
          <w:u w:color="auto"/>
          <w:rtl w:val="off"/>
        </w:rPr>
        <w:t>, 「</w:t>
      </w:r>
      <w:r>
        <w:rPr>
          <w:rFonts w:ascii="함초롬바탕" w:eastAsia="함초롬바탕" w:hAnsi="함초롬바탕" w:cs="함초롬바탕" w:hint="default"/>
          <w:sz w:val="12"/>
          <w:szCs w:val="12"/>
          <w:u w:color="auto"/>
        </w:rPr>
        <w:t>광촉매의 이론과 적용</w:t>
      </w:r>
      <w:r>
        <w:rPr>
          <w:lang w:eastAsia="ko-KR"/>
          <w:rFonts w:ascii="함초롬바탕" w:eastAsia="함초롬바탕" w:hAnsi="함초롬바탕" w:cs="함초롬바탕" w:hint="default"/>
          <w:sz w:val="12"/>
          <w:szCs w:val="12"/>
          <w:u w:color="auto"/>
          <w:rtl w:val="off"/>
        </w:rPr>
        <w:t>」, 『Journal of KSEE』, Vol. 21, 1999</w:t>
      </w:r>
    </w:p>
    <w:p>
      <w:pPr>
        <w:rPr/>
      </w:pPr>
      <w:r>
        <w:rPr>
          <w:lang w:eastAsia="ko-KR"/>
          <w:rFonts w:ascii="함초롬바탕" w:eastAsia="함초롬바탕" w:hAnsi="함초롬바탕" w:cs="함초롬바탕" w:hint="default"/>
          <w:sz w:val="12"/>
          <w:szCs w:val="12"/>
          <w:u w:color="auto"/>
          <w:rtl w:val="off"/>
        </w:rPr>
        <w:t xml:space="preserve">2. </w:t>
      </w:r>
      <w:r>
        <w:rPr>
          <w:rFonts w:ascii="함초롬바탕" w:eastAsia="함초롬바탕" w:hAnsi="함초롬바탕" w:cs="함초롬바탕" w:hint="default"/>
          <w:sz w:val="12"/>
          <w:szCs w:val="12"/>
          <w:u w:color="auto"/>
        </w:rPr>
        <w:t>M</w:t>
      </w:r>
      <w:r>
        <w:rPr>
          <w:lang w:eastAsia="ko-KR"/>
          <w:rFonts w:ascii="함초롬바탕" w:eastAsia="함초롬바탕" w:hAnsi="함초롬바탕" w:cs="함초롬바탕" w:hint="default"/>
          <w:sz w:val="12"/>
          <w:szCs w:val="12"/>
          <w:u w:color="auto"/>
          <w:rtl w:val="off"/>
        </w:rPr>
        <w:t>.</w:t>
      </w:r>
      <w:r>
        <w:rPr>
          <w:rFonts w:ascii="함초롬바탕" w:eastAsia="함초롬바탕" w:hAnsi="함초롬바탕" w:cs="함초롬바탕" w:hint="default"/>
          <w:sz w:val="12"/>
          <w:szCs w:val="12"/>
          <w:u w:color="auto"/>
        </w:rPr>
        <w:t xml:space="preserve"> Náfrádi</w:t>
      </w:r>
      <w:r>
        <w:rPr>
          <w:lang w:eastAsia="ko-KR"/>
          <w:rFonts w:ascii="함초롬바탕" w:eastAsia="함초롬바탕" w:hAnsi="함초롬바탕" w:cs="함초롬바탕" w:hint="default"/>
          <w:sz w:val="12"/>
          <w:szCs w:val="12"/>
          <w:u w:color="auto"/>
          <w:rtl w:val="off"/>
        </w:rPr>
        <w:t xml:space="preserve"> </w:t>
      </w:r>
      <w:r>
        <w:rPr>
          <w:rFonts w:ascii="함초롬바탕" w:eastAsia="함초롬바탕" w:hAnsi="함초롬바탕" w:cs="함초롬바탕" w:hint="default"/>
          <w:sz w:val="12"/>
          <w:szCs w:val="12"/>
          <w:u w:color="auto"/>
        </w:rPr>
        <w:t>·</w:t>
      </w:r>
      <w:r>
        <w:rPr>
          <w:lang w:eastAsia="ko-KR"/>
          <w:rFonts w:ascii="함초롬바탕" w:eastAsia="함초롬바탕" w:hAnsi="함초롬바탕" w:cs="함초롬바탕" w:hint="default"/>
          <w:sz w:val="12"/>
          <w:szCs w:val="12"/>
          <w:u w:color="auto"/>
          <w:rtl w:val="off"/>
        </w:rPr>
        <w:t xml:space="preserve"> </w:t>
      </w:r>
      <w:r>
        <w:rPr>
          <w:rFonts w:ascii="함초롬바탕" w:eastAsia="함초롬바탕" w:hAnsi="함초롬바탕" w:cs="함초롬바탕" w:hint="default"/>
          <w:sz w:val="12"/>
          <w:szCs w:val="12"/>
          <w:u w:color="auto"/>
        </w:rPr>
        <w:t>G</w:t>
      </w:r>
      <w:r>
        <w:rPr>
          <w:lang w:eastAsia="ko-KR"/>
          <w:rFonts w:ascii="함초롬바탕" w:eastAsia="함초롬바탕" w:hAnsi="함초롬바탕" w:cs="함초롬바탕" w:hint="default"/>
          <w:sz w:val="12"/>
          <w:szCs w:val="12"/>
          <w:u w:color="auto"/>
          <w:rtl w:val="off"/>
        </w:rPr>
        <w:t>.</w:t>
      </w:r>
      <w:r>
        <w:rPr>
          <w:rFonts w:ascii="함초롬바탕" w:eastAsia="함초롬바탕" w:hAnsi="함초롬바탕" w:cs="함초롬바탕" w:hint="default"/>
          <w:sz w:val="12"/>
          <w:szCs w:val="12"/>
          <w:u w:color="auto"/>
        </w:rPr>
        <w:t xml:space="preserve"> Veréb</w:t>
      </w:r>
      <w:r>
        <w:rPr>
          <w:lang w:eastAsia="ko-KR"/>
          <w:rFonts w:ascii="함초롬바탕" w:eastAsia="함초롬바탕" w:hAnsi="함초롬바탕" w:cs="함초롬바탕" w:hint="default"/>
          <w:sz w:val="12"/>
          <w:szCs w:val="12"/>
          <w:u w:color="auto"/>
          <w:rtl w:val="off"/>
        </w:rPr>
        <w:t xml:space="preserve"> </w:t>
      </w:r>
      <w:r>
        <w:rPr>
          <w:rFonts w:ascii="함초롬바탕" w:eastAsia="함초롬바탕" w:hAnsi="함초롬바탕" w:cs="함초롬바탕" w:hint="default"/>
          <w:sz w:val="12"/>
          <w:szCs w:val="12"/>
          <w:u w:color="auto"/>
        </w:rPr>
        <w:t>·</w:t>
      </w:r>
      <w:r>
        <w:rPr>
          <w:lang w:eastAsia="ko-KR"/>
          <w:rFonts w:ascii="함초롬바탕" w:eastAsia="함초롬바탕" w:hAnsi="함초롬바탕" w:cs="함초롬바탕" w:hint="default"/>
          <w:sz w:val="12"/>
          <w:szCs w:val="12"/>
          <w:u w:color="auto"/>
          <w:rtl w:val="off"/>
        </w:rPr>
        <w:t xml:space="preserve"> </w:t>
      </w:r>
      <w:r>
        <w:rPr>
          <w:rFonts w:ascii="함초롬바탕" w:eastAsia="함초롬바탕" w:hAnsi="함초롬바탕" w:cs="함초롬바탕" w:hint="default"/>
          <w:sz w:val="12"/>
          <w:szCs w:val="12"/>
          <w:u w:color="auto"/>
        </w:rPr>
        <w:t>D</w:t>
      </w:r>
      <w:r>
        <w:rPr>
          <w:lang w:eastAsia="ko-KR"/>
          <w:rFonts w:ascii="함초롬바탕" w:eastAsia="함초롬바탕" w:hAnsi="함초롬바탕" w:cs="함초롬바탕" w:hint="default"/>
          <w:sz w:val="12"/>
          <w:szCs w:val="12"/>
          <w:u w:color="auto"/>
          <w:rtl w:val="off"/>
        </w:rPr>
        <w:t>.</w:t>
      </w:r>
      <w:r>
        <w:rPr>
          <w:rFonts w:ascii="함초롬바탕" w:eastAsia="함초롬바탕" w:hAnsi="함초롬바탕" w:cs="함초롬바탕" w:hint="default"/>
          <w:sz w:val="12"/>
          <w:szCs w:val="12"/>
          <w:u w:color="auto"/>
        </w:rPr>
        <w:t xml:space="preserve"> S</w:t>
      </w:r>
      <w:r>
        <w:rPr>
          <w:lang w:eastAsia="ko-KR"/>
          <w:rFonts w:ascii="함초롬바탕" w:eastAsia="함초롬바탕" w:hAnsi="함초롬바탕" w:cs="함초롬바탕" w:hint="default"/>
          <w:sz w:val="12"/>
          <w:szCs w:val="12"/>
          <w:u w:color="auto"/>
          <w:rtl w:val="off"/>
        </w:rPr>
        <w:t>.</w:t>
      </w:r>
      <w:r>
        <w:rPr>
          <w:rFonts w:ascii="함초롬바탕" w:eastAsia="함초롬바탕" w:hAnsi="함초롬바탕" w:cs="함초롬바탕" w:hint="default"/>
          <w:sz w:val="12"/>
          <w:szCs w:val="12"/>
          <w:u w:color="auto"/>
        </w:rPr>
        <w:t xml:space="preserve"> Firak</w:t>
      </w:r>
      <w:r>
        <w:rPr>
          <w:lang w:eastAsia="ko-KR"/>
          <w:rFonts w:ascii="함초롬바탕" w:eastAsia="함초롬바탕" w:hAnsi="함초롬바탕" w:cs="함초롬바탕" w:hint="default"/>
          <w:sz w:val="12"/>
          <w:szCs w:val="12"/>
          <w:u w:color="auto"/>
          <w:rtl w:val="off"/>
        </w:rPr>
        <w:t xml:space="preserve"> </w:t>
      </w:r>
      <w:r>
        <w:rPr>
          <w:rFonts w:ascii="함초롬바탕" w:eastAsia="함초롬바탕" w:hAnsi="함초롬바탕" w:cs="함초롬바탕" w:hint="default"/>
          <w:sz w:val="12"/>
          <w:szCs w:val="12"/>
          <w:u w:color="auto"/>
        </w:rPr>
        <w:t>·</w:t>
      </w:r>
      <w:r>
        <w:rPr>
          <w:lang w:eastAsia="ko-KR"/>
          <w:rFonts w:ascii="함초롬바탕" w:eastAsia="함초롬바탕" w:hAnsi="함초롬바탕" w:cs="함초롬바탕" w:hint="default"/>
          <w:sz w:val="12"/>
          <w:szCs w:val="12"/>
          <w:u w:color="auto"/>
          <w:rtl w:val="off"/>
        </w:rPr>
        <w:t xml:space="preserve"> </w:t>
      </w:r>
      <w:r>
        <w:rPr>
          <w:rFonts w:ascii="함초롬바탕" w:eastAsia="함초롬바탕" w:hAnsi="함초롬바탕" w:cs="함초롬바탕" w:hint="default"/>
          <w:sz w:val="12"/>
          <w:szCs w:val="12"/>
          <w:u w:color="auto"/>
        </w:rPr>
        <w:t>T</w:t>
      </w:r>
      <w:r>
        <w:rPr>
          <w:lang w:eastAsia="ko-KR"/>
          <w:rFonts w:ascii="함초롬바탕" w:eastAsia="함초롬바탕" w:hAnsi="함초롬바탕" w:cs="함초롬바탕" w:hint="default"/>
          <w:sz w:val="12"/>
          <w:szCs w:val="12"/>
          <w:u w:color="auto"/>
          <w:rtl w:val="off"/>
        </w:rPr>
        <w:t>.</w:t>
      </w:r>
      <w:r>
        <w:rPr>
          <w:rFonts w:ascii="함초롬바탕" w:eastAsia="함초롬바탕" w:hAnsi="함초롬바탕" w:cs="함초롬바탕" w:hint="default"/>
          <w:sz w:val="12"/>
          <w:szCs w:val="12"/>
          <w:u w:color="auto"/>
        </w:rPr>
        <w:t xml:space="preserve"> Alapi</w:t>
      </w:r>
      <w:r>
        <w:rPr>
          <w:lang w:eastAsia="ko-KR"/>
          <w:rFonts w:ascii="함초롬바탕" w:eastAsia="함초롬바탕" w:hAnsi="함초롬바탕" w:cs="함초롬바탕" w:hint="default"/>
          <w:sz w:val="12"/>
          <w:szCs w:val="12"/>
          <w:u w:color="auto"/>
          <w:rtl w:val="off"/>
        </w:rPr>
        <w:t>, 「</w:t>
      </w:r>
      <w:r>
        <w:rPr>
          <w:rFonts w:ascii="함초롬바탕" w:eastAsia="함초롬바탕" w:hAnsi="함초롬바탕" w:cs="함초롬바탕" w:hint="default"/>
          <w:sz w:val="12"/>
          <w:szCs w:val="12"/>
          <w:u w:color="auto"/>
        </w:rPr>
        <w:t>Photocatalysis: Introduction,</w:t>
      </w:r>
      <w:r>
        <w:rPr>
          <w:lang w:eastAsia="ko-KR"/>
          <w:rFonts w:ascii="함초롬바탕" w:eastAsia="함초롬바탕" w:hAnsi="함초롬바탕" w:cs="함초롬바탕" w:hint="default"/>
          <w:sz w:val="12"/>
          <w:szCs w:val="12"/>
          <w:u w:color="auto"/>
          <w:rtl w:val="off"/>
        </w:rPr>
        <w:t xml:space="preserve"> </w:t>
      </w:r>
      <w:r>
        <w:rPr>
          <w:rFonts w:ascii="함초롬바탕" w:eastAsia="함초롬바탕" w:hAnsi="함초롬바탕" w:cs="함초롬바탕" w:hint="default"/>
          <w:sz w:val="12"/>
          <w:szCs w:val="12"/>
          <w:u w:color="auto"/>
        </w:rPr>
        <w:t>Mechanism, and Effective Parameters</w:t>
      </w:r>
      <w:r>
        <w:rPr>
          <w:lang w:eastAsia="ko-KR"/>
          <w:rFonts w:ascii="함초롬바탕" w:eastAsia="함초롬바탕" w:hAnsi="함초롬바탕" w:cs="함초롬바탕" w:hint="default"/>
          <w:sz w:val="12"/>
          <w:szCs w:val="12"/>
          <w:u w:color="auto"/>
          <w:rtl w:val="off"/>
        </w:rPr>
        <w:t xml:space="preserve">」, </w:t>
      </w:r>
      <w:r>
        <w:rPr>
          <w:rFonts w:ascii="함초롬바탕" w:eastAsia="함초롬바탕" w:hAnsi="함초롬바탕" w:cs="함초롬바탕" w:hint="default"/>
          <w:sz w:val="12"/>
          <w:szCs w:val="12"/>
          <w:u w:color="auto"/>
        </w:rPr>
        <w:t>János Bolyai Research Scholarship ofthe Hungarian Academy of Science</w:t>
      </w:r>
      <w:r>
        <w:rPr>
          <w:lang w:eastAsia="ko-KR"/>
          <w:rFonts w:ascii="함초롬바탕" w:eastAsia="함초롬바탕" w:hAnsi="함초롬바탕" w:cs="함초롬바탕" w:hint="default"/>
          <w:sz w:val="12"/>
          <w:szCs w:val="12"/>
          <w:u w:color="auto"/>
          <w:rtl w:val="off"/>
        </w:rPr>
        <w:t>, 2021</w:t>
      </w:r>
    </w:p>
    <w:p>
      <w:pPr>
        <w:ind w:firstLine="0"/>
        <w:jc w:val="left"/>
        <w:shd w:val="clear" w:color="auto" w:fill="auto"/>
        <w:rPr>
          <w:lang w:eastAsia="ko-KR"/>
          <w:rFonts w:ascii="함초롬바탕" w:eastAsia="함초롬바탕" w:hAnsi="함초롬바탕" w:cs="함초롬바탕" w:hint="eastAsia"/>
          <w:sz w:val="12"/>
          <w:szCs w:val="12"/>
          <w:u w:color="auto"/>
          <w:rtl w:val="off"/>
        </w:rPr>
      </w:pPr>
      <w:r>
        <w:rPr>
          <w:caps w:val="off"/>
          <w:lang w:eastAsia="ko-KR"/>
          <w:rFonts w:ascii="함초롬바탕" w:eastAsia="함초롬바탕" w:hAnsi="함초롬바탕" w:cs="함초롬바탕"/>
          <w:b w:val="0"/>
          <w:i w:val="0"/>
          <w:sz w:val="12"/>
          <w:szCs w:val="12"/>
          <w:u w:color="auto"/>
          <w:rtl w:val="off"/>
        </w:rPr>
        <w:t xml:space="preserve">3. </w:t>
      </w:r>
      <w:r>
        <w:rPr>
          <w:caps w:val="off"/>
          <w:rFonts w:ascii="함초롬바탕" w:eastAsia="함초롬바탕" w:hAnsi="함초롬바탕" w:cs="함초롬바탕"/>
          <w:b w:val="0"/>
          <w:i w:val="0"/>
          <w:sz w:val="12"/>
          <w:szCs w:val="12"/>
          <w:u w:color="auto"/>
        </w:rPr>
        <w:t>P</w:t>
      </w:r>
      <w:r>
        <w:rPr>
          <w:caps w:val="off"/>
          <w:lang w:eastAsia="ko-KR"/>
          <w:rFonts w:ascii="함초롬바탕" w:eastAsia="함초롬바탕" w:hAnsi="함초롬바탕" w:cs="함초롬바탕"/>
          <w:b w:val="0"/>
          <w:i w:val="0"/>
          <w:sz w:val="12"/>
          <w:szCs w:val="12"/>
          <w:u w:color="auto"/>
          <w:rtl w:val="off"/>
        </w:rPr>
        <w:t xml:space="preserve">. </w:t>
      </w:r>
      <w:r>
        <w:rPr>
          <w:caps w:val="off"/>
          <w:rFonts w:ascii="함초롬바탕" w:eastAsia="함초롬바탕" w:hAnsi="함초롬바탕" w:cs="함초롬바탕"/>
          <w:b w:val="0"/>
          <w:i w:val="0"/>
          <w:sz w:val="12"/>
          <w:szCs w:val="12"/>
          <w:u w:color="auto"/>
        </w:rPr>
        <w:t>Vijayarengan</w:t>
      </w:r>
      <w:r>
        <w:rPr>
          <w:caps w:val="off"/>
          <w:lang w:eastAsia="ko-KR"/>
          <w:rFonts w:ascii="함초롬바탕" w:eastAsia="함초롬바탕" w:hAnsi="함초롬바탕" w:cs="함초롬바탕"/>
          <w:b w:val="0"/>
          <w:i w:val="0"/>
          <w:sz w:val="12"/>
          <w:szCs w:val="12"/>
          <w:u w:color="auto"/>
          <w:rtl w:val="off"/>
        </w:rPr>
        <w:t xml:space="preserve"> </w:t>
      </w:r>
      <w:r>
        <w:rPr>
          <w:rFonts w:ascii="함초롬바탕" w:eastAsia="함초롬바탕" w:hAnsi="함초롬바탕" w:cs="함초롬바탕" w:hint="default"/>
          <w:sz w:val="12"/>
          <w:szCs w:val="12"/>
          <w:u w:color="auto"/>
        </w:rPr>
        <w:t>·</w:t>
      </w:r>
      <w:r>
        <w:rPr>
          <w:lang w:eastAsia="ko-KR"/>
          <w:rFonts w:ascii="함초롬바탕" w:eastAsia="함초롬바탕" w:hAnsi="함초롬바탕" w:cs="함초롬바탕" w:hint="default"/>
          <w:sz w:val="12"/>
          <w:szCs w:val="12"/>
          <w:u w:color="auto"/>
          <w:rtl w:val="off"/>
        </w:rPr>
        <w:t xml:space="preserve"> S. Kanmani, 「Photocatalytic Hydrogen Production」, 2013</w:t>
      </w:r>
    </w:p>
    <w:p>
      <w:pPr>
        <w:ind w:firstLine="0"/>
        <w:jc w:val="left"/>
        <w:shd w:val="clear" w:color="auto" w:fill="auto"/>
        <w:rPr>
          <w:lang w:eastAsia="ko-KR"/>
          <w:rFonts w:ascii="함초롬바탕" w:eastAsia="함초롬바탕" w:hAnsi="함초롬바탕" w:cs="함초롬바탕" w:hint="eastAsia"/>
          <w:sz w:val="12"/>
          <w:szCs w:val="12"/>
          <w:u w:color="auto"/>
          <w:rtl w:val="off"/>
        </w:rPr>
      </w:pPr>
      <w:r>
        <w:rPr>
          <w:lang w:eastAsia="ko-KR"/>
          <w:rFonts w:ascii="함초롬바탕" w:eastAsia="함초롬바탕" w:hAnsi="함초롬바탕" w:cs="함초롬바탕" w:hint="eastAsia"/>
          <w:sz w:val="12"/>
          <w:szCs w:val="12"/>
          <w:u w:color="auto"/>
          <w:rtl w:val="off"/>
        </w:rPr>
        <w:t>4. 하언태, 「광촉매 응용의 현황」, 한국과학기술정보원</w:t>
      </w:r>
    </w:p>
    <w:p>
      <w:pPr>
        <w:ind w:firstLine="0"/>
        <w:jc w:val="left"/>
        <w:shd w:val="clear" w:color="auto" w:fill="auto"/>
        <w:rPr>
          <w:lang w:eastAsia="ko-KR"/>
          <w:rFonts w:ascii="함초롬바탕" w:eastAsia="함초롬바탕" w:hAnsi="함초롬바탕" w:cs="함초롬바탕" w:hint="eastAsia"/>
          <w:sz w:val="12"/>
          <w:szCs w:val="12"/>
          <w:u w:color="auto"/>
          <w:rtl w:val="off"/>
        </w:rPr>
      </w:pPr>
      <w:r>
        <w:rPr>
          <w:lang w:eastAsia="ko-KR"/>
          <w:rFonts w:ascii="함초롬바탕" w:eastAsia="함초롬바탕" w:hAnsi="함초롬바탕" w:cs="함초롬바탕" w:hint="eastAsia"/>
          <w:sz w:val="12"/>
          <w:szCs w:val="12"/>
          <w:u w:color="auto"/>
          <w:rtl w:val="off"/>
        </w:rPr>
        <w:t>5. 황선일, 「광촉매를 이용한 화학 반응」, 한국과학기술정보원</w:t>
      </w:r>
    </w:p>
    <w:p>
      <w:pPr>
        <w:ind w:firstLine="0"/>
        <w:jc w:val="left"/>
        <w:shd w:val="clear" w:color="auto" w:fill="auto"/>
        <w:rPr>
          <w:caps w:val="off"/>
          <w:rFonts w:ascii="Roboto" w:eastAsia="Roboto" w:hAnsi="Roboto" w:cs="Roboto"/>
          <w:b w:val="0"/>
          <w:i w:val="0"/>
          <w:sz w:val="26"/>
        </w:rPr>
      </w:pPr>
    </w:p>
    <w:p>
      <w:pPr>
        <w:rPr/>
      </w:pPr>
    </w:p>
    <w:p>
      <w:pPr>
        <w:rPr>
          <w:lang w:eastAsia="ko-KR"/>
          <w:rFonts w:ascii="바탕" w:hAnsi="바탕"/>
          <w:sz w:val="20"/>
        </w:rPr>
      </w:pPr>
    </w:p>
    <w:sectPr>
      <w:type w:val="continuous"/>
      <w:pgSz w:w="12240" w:h="15840"/>
      <w:pgMar w:top="720" w:right="1094" w:bottom="950" w:left="1094" w:header="720" w:footer="720" w:gutter="0"/>
      <w:cols w:space="461" w:num="2" w:sep="1"/>
      <w:docGrid w:linePitch="360"/>
      <w:headerReference w:type="even" r:id="rId6"/>
      <w:footerReference w:type="even" r:id="rId7"/>
      <w:footerReference w:type="default" r:id="rId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함초롬바탕">
    <w:panose1 w:val="02030604000101010101"/>
    <w:charset w:val="00"/>
    <w:notTrueType w:val="false"/>
    <w:sig w:usb0="F70006FF" w:usb1="19DFFFFF" w:usb2="001BFDD7" w:usb3="00000001" w:csb0="001F01FF" w:csb1="00000001"/>
  </w:font>
  <w:font w:name="바탕">
    <w:panose1 w:val="02030600000101010101"/>
    <w:family w:val="Batang"/>
    <w:charset w:val="00"/>
    <w:notTrueType w:val="false"/>
    <w:sig w:usb0="B00002AF" w:usb1="69D77CFB" w:usb2="00000030" w:usb3="00000001" w:csb0="4008009F" w:csb1="DFD70000"/>
  </w:font>
  <w:font w:name="굴림">
    <w:panose1 w:val="020B0600000101010101"/>
    <w:family w:val="Gulim"/>
    <w:charset w:val="00"/>
    <w:notTrueType w:val="false"/>
    <w:sig w:usb0="B00002AF" w:usb1="69D77CFB" w:usb2="00000030" w:usb3="00000001" w:csb0="4008009F" w:csb1="DFD70000"/>
  </w:font>
  <w:font w:name="Roboto">
    <w:charset w:val="00"/>
    <w:notTrueType w:val="false"/>
  </w:font>
  <w:font w:name="New York">
    <w:panose1 w:val="02040503FFFFFFFFFFFF"/>
    <w:family w:val="roman"/>
    <w:charset w:val="00"/>
    <w:notTrueType w:val="false"/>
    <w:pitch w:val="variable"/>
    <w:sig w:usb0="00000003" w:usb1="00000000" w:usb2="00000000" w:usb3="00000000" w:csb0="00000001" w:csb1="00000000"/>
  </w:font>
  <w:font w:name="Times New Roman">
    <w:panose1 w:val="02020603050405020304"/>
    <w:family w:val="Times New Roman"/>
    <w:charset w:val="00"/>
    <w:notTrueType w:val="false"/>
    <w:sig w:usb0="E0002EFF" w:usb1="C000785B" w:usb2="00000009" w:usb3="00000001" w:csb0="400001FF" w:csb1="FFFF0000"/>
  </w:font>
  <w:font w:name="Times">
    <w:charset w:val="00"/>
    <w:notTrueType w:val="false"/>
  </w:font>
  <w:font w:name="Myriad Pro Light">
    <w:family w:val="auto"/>
    <w:altName w:val="Times New Roman"/>
    <w:charset w:val="00"/>
    <w:notTrueType w:val="false"/>
  </w:font>
  <w:font w:name="Arial">
    <w:panose1 w:val="020B0604020202020204"/>
    <w:family w:val="Arial"/>
    <w:charset w:val="00"/>
    <w:notTrueType w:val="false"/>
    <w:sig w:usb0="E0002EFF" w:usb1="C000785B" w:usb2="00000009" w:usb3="00000001" w:csb0="400001FF" w:csb1="FFFF0000"/>
  </w:font>
  <w:font w:name="Arno Pro">
    <w:panose1 w:val="00000000000000000000"/>
    <w:family w:val="roman"/>
    <w:altName w:val="Times New Roman"/>
    <w:charset w:val="00"/>
    <w:notTrueType w:val="false"/>
    <w:pitch w:val="variable"/>
    <w:sig w:usb0="60000287" w:usb1="00000001" w:usb2="00000000" w:usb3="00000000" w:csb0="0000019F" w:csb1="00000000"/>
  </w:font>
  <w:font w:name="KoPubWorldBatang Light">
    <w:family w:val="auto"/>
    <w:altName w:val="맑은 고딕"/>
    <w:charset w:val="81"/>
    <w:notTrueType w:val="false"/>
    <w:pitch w:val="variable"/>
    <w:sig w:usb0="B000AABF" w:usb1="79D7FCFB" w:usb2="00000010" w:usb3="00000000" w:csb0="00280001" w:csb1="00000000"/>
  </w:font>
  <w:font w:name="Tahoma">
    <w:panose1 w:val="020B0604030504040204"/>
    <w:family w:val="Tahoma"/>
    <w:charset w:val="00"/>
    <w:notTrueType w:val="false"/>
    <w:sig w:usb0="E1002EFF" w:usb1="C000605B" w:usb2="00000029" w:usb3="00000001" w:csb0="200101FF" w:csb1="20280000"/>
  </w:font>
  <w:font w:name="Arno Pro Bold">
    <w:family w:val="auto"/>
    <w:altName w:val="Helvetica Neue Light"/>
    <w:charset w:val="00"/>
    <w:notTrueType w:val="false"/>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Style w:val="a7"/>
      <w:framePr w:wrap="around" w:hAnchor="margin" w:vAnchor="text"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w:t>
    </w:r>
    <w:r>
      <w:rPr>
        <w:rStyle w:val="a8"/>
      </w:rPr>
      <w:fldChar w:fldCharType="end"/>
    </w:r>
  </w:p>
  <w:p>
    <w:pPr>
      <w:pStyle w:val="a7"/>
      <w:ind w:right="36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Style w:val="a7"/>
      <w:framePr w:wrap="around" w:hAnchor="margin" w:vAnchor="text"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14</w:t>
    </w:r>
    <w:r>
      <w:rPr>
        <w:rStyle w:val="a8"/>
      </w:rPr>
      <w:fldChar w:fldCharType="end"/>
    </w:r>
  </w:p>
  <w:p>
    <w:pPr>
      <w:pStyle w:val="a7"/>
      <w:ind w:right="36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90"/>
  <w:removePersonalInformation/>
  <w:bordersDontSurroundHeader/>
  <w:bordersDontSurroundFooter/>
  <w:hideGrammaticalErrors/>
  <w:proofState w:spelling="clean" w:grammar="clean"/>
  <w:defaultTabStop w:val="720"/>
  <w:autoHyphenation/>
  <w:hyphenationZone w:val="360"/>
  <w:doNotHyphenateCap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rawingGridHorizontalSpacing w:val="180"/>
  <w:drawingGridVerticalSpacing w:val="180"/>
  <w:doNotUseMarginsForDrawingGridOrigin/>
  <w:displayHorizontalDrawingGridEvery w:val="1"/>
  <w:displayVerticalDrawingGridEvery w:val="1"/>
  <w:doNotShadeFormData/>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ja-JP"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New York" w:eastAsia="바탕" w:hAnsi="New York" w:cs="Times New Roman"/>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911" w:unhideWhenUsed="1"/>
    <w:lsdException w:name="toc 2" w:semiHidden="1" w:uiPriority="1911" w:unhideWhenUsed="1"/>
    <w:lsdException w:name="toc 3" w:semiHidden="1" w:uiPriority="1911" w:unhideWhenUsed="1"/>
    <w:lsdException w:name="toc 4" w:semiHidden="1" w:uiPriority="1911" w:unhideWhenUsed="1"/>
    <w:lsdException w:name="toc 5" w:semiHidden="1" w:uiPriority="1911" w:unhideWhenUsed="1"/>
    <w:lsdException w:name="toc 6" w:semiHidden="1" w:uiPriority="1911" w:unhideWhenUsed="1"/>
    <w:lsdException w:name="toc 7" w:semiHidden="1" w:uiPriority="1911" w:unhideWhenUsed="1"/>
    <w:lsdException w:name="toc 8" w:semiHidden="1" w:uiPriority="1911" w:unhideWhenUsed="1"/>
    <w:lsdException w:name="toc 9" w:semiHidden="1" w:uiPriority="191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0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3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772" w:qFormat="1"/>
    <w:lsdException w:name="Emphasis" w:uiPriority="66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6437"/>
    <w:lsdException w:name="Table Theme" w:semiHidden="1" w:unhideWhenUsed="1"/>
    <w:lsdException w:name="Placeholder Text" w:semiHidden="1"/>
    <w:lsdException w:name="No Spacing" w:uiPriority="1" w:qFormat="1"/>
    <w:lsdException w:name="Light Shading" w:uiPriority="8322"/>
    <w:lsdException w:name="Light List" w:uiPriority="8323"/>
    <w:lsdException w:name="Light Grid" w:uiPriority="8324"/>
    <w:lsdException w:name="Medium Shading 1" w:uiPriority="8325"/>
    <w:lsdException w:name="Medium Shading 2" w:uiPriority="20848"/>
    <w:lsdException w:name="Medium List 1" w:uiPriority="20849"/>
    <w:lsdException w:name="Medium List 2" w:uiPriority="21552"/>
    <w:lsdException w:name="Medium Grid 1" w:uiPriority="21553"/>
    <w:lsdException w:name="Medium Grid 2" w:uiPriority="21572"/>
    <w:lsdException w:name="Medium Grid 3" w:uiPriority="21573"/>
    <w:lsdException w:name="Dark List" w:uiPriority="21652"/>
    <w:lsdException w:name="Colorful Shading" w:uiPriority="21653"/>
    <w:lsdException w:name="Colorful List" w:uiPriority="21768"/>
    <w:lsdException w:name="Colorful Grid" w:uiPriority="21769"/>
    <w:lsdException w:name="Light Shading Accent 1" w:uiPriority="8322"/>
    <w:lsdException w:name="Light List Accent 1" w:uiPriority="8323"/>
    <w:lsdException w:name="Light Grid Accent 1" w:uiPriority="8324"/>
    <w:lsdException w:name="Medium Shading 1 Accent 1" w:uiPriority="8325"/>
    <w:lsdException w:name="Medium Shading 2 Accent 1" w:uiPriority="20848"/>
    <w:lsdException w:name="Medium List 1 Accent 1" w:uiPriority="20849"/>
    <w:lsdException w:name="Revision" w:semiHidden="1"/>
    <w:lsdException w:name="List Paragraph" w:uiPriority="1906" w:qFormat="1"/>
    <w:lsdException w:name="Quote" w:uiPriority="1433" w:qFormat="1"/>
    <w:lsdException w:name="Intense Quote" w:uiPriority="1584" w:qFormat="1"/>
    <w:lsdException w:name="Medium List 2 Accent 1" w:uiPriority="21552"/>
    <w:lsdException w:name="Medium Grid 1 Accent 1" w:uiPriority="21553"/>
    <w:lsdException w:name="Medium Grid 2 Accent 1" w:uiPriority="21572"/>
    <w:lsdException w:name="Medium Grid 3 Accent 1" w:uiPriority="21573"/>
    <w:lsdException w:name="Dark List Accent 1" w:uiPriority="21652"/>
    <w:lsdException w:name="Colorful Shading Accent 1" w:uiPriority="21653"/>
    <w:lsdException w:name="Colorful List Accent 1" w:uiPriority="21768"/>
    <w:lsdException w:name="Colorful Grid Accent 1" w:uiPriority="21769"/>
    <w:lsdException w:name="Light Shading Accent 2" w:uiPriority="8322"/>
    <w:lsdException w:name="Light List Accent 2" w:uiPriority="8323"/>
    <w:lsdException w:name="Light Grid Accent 2" w:uiPriority="8324"/>
    <w:lsdException w:name="Medium Shading 1 Accent 2" w:uiPriority="8325"/>
    <w:lsdException w:name="Medium Shading 2 Accent 2" w:uiPriority="20848"/>
    <w:lsdException w:name="Medium List 1 Accent 2" w:uiPriority="20849"/>
    <w:lsdException w:name="Medium List 2 Accent 2" w:uiPriority="21552"/>
    <w:lsdException w:name="Medium Grid 1 Accent 2" w:uiPriority="21553"/>
    <w:lsdException w:name="Medium Grid 2 Accent 2" w:uiPriority="21572"/>
    <w:lsdException w:name="Medium Grid 3 Accent 2" w:uiPriority="21573"/>
    <w:lsdException w:name="Dark List Accent 2" w:uiPriority="21652"/>
    <w:lsdException w:name="Colorful Shading Accent 2" w:uiPriority="21653"/>
    <w:lsdException w:name="Colorful List Accent 2" w:uiPriority="21768"/>
    <w:lsdException w:name="Colorful Grid Accent 2" w:uiPriority="21769"/>
    <w:lsdException w:name="Light Shading Accent 3" w:uiPriority="8322"/>
    <w:lsdException w:name="Light List Accent 3" w:uiPriority="8323"/>
    <w:lsdException w:name="Light Grid Accent 3" w:uiPriority="8324"/>
    <w:lsdException w:name="Medium Shading 1 Accent 3" w:uiPriority="8325"/>
    <w:lsdException w:name="Medium Shading 2 Accent 3" w:uiPriority="20848"/>
    <w:lsdException w:name="Medium List 1 Accent 3" w:uiPriority="20849"/>
    <w:lsdException w:name="Medium List 2 Accent 3" w:uiPriority="21552"/>
    <w:lsdException w:name="Medium Grid 1 Accent 3" w:uiPriority="21553"/>
    <w:lsdException w:name="Medium Grid 2 Accent 3" w:uiPriority="21572"/>
    <w:lsdException w:name="Medium Grid 3 Accent 3" w:uiPriority="21573"/>
    <w:lsdException w:name="Dark List Accent 3" w:uiPriority="21652"/>
    <w:lsdException w:name="Colorful Shading Accent 3" w:uiPriority="21653"/>
    <w:lsdException w:name="Colorful List Accent 3" w:uiPriority="21768"/>
    <w:lsdException w:name="Colorful Grid Accent 3" w:uiPriority="21769"/>
    <w:lsdException w:name="Light Shading Accent 4" w:uiPriority="8322"/>
    <w:lsdException w:name="Light List Accent 4" w:uiPriority="8323"/>
    <w:lsdException w:name="Light Grid Accent 4" w:uiPriority="8324"/>
    <w:lsdException w:name="Medium Shading 1 Accent 4" w:uiPriority="8325"/>
    <w:lsdException w:name="Medium Shading 2 Accent 4" w:uiPriority="20848"/>
    <w:lsdException w:name="Medium List 1 Accent 4" w:uiPriority="20849"/>
    <w:lsdException w:name="Medium List 2 Accent 4" w:uiPriority="21552"/>
    <w:lsdException w:name="Medium Grid 1 Accent 4" w:uiPriority="21553"/>
    <w:lsdException w:name="Medium Grid 2 Accent 4" w:uiPriority="21572"/>
    <w:lsdException w:name="Medium Grid 3 Accent 4" w:uiPriority="21573"/>
    <w:lsdException w:name="Dark List Accent 4" w:uiPriority="21652"/>
    <w:lsdException w:name="Colorful Shading Accent 4" w:uiPriority="21653"/>
    <w:lsdException w:name="Colorful List Accent 4" w:uiPriority="21768"/>
    <w:lsdException w:name="Colorful Grid Accent 4" w:uiPriority="21769"/>
    <w:lsdException w:name="Light Shading Accent 5" w:uiPriority="8322"/>
    <w:lsdException w:name="Light List Accent 5" w:uiPriority="8323"/>
    <w:lsdException w:name="Light Grid Accent 5" w:uiPriority="8324"/>
    <w:lsdException w:name="Medium Shading 1 Accent 5" w:uiPriority="8325"/>
    <w:lsdException w:name="Medium Shading 2 Accent 5" w:uiPriority="20848"/>
    <w:lsdException w:name="Medium List 1 Accent 5" w:uiPriority="20849"/>
    <w:lsdException w:name="Medium List 2 Accent 5" w:uiPriority="21552"/>
    <w:lsdException w:name="Medium Grid 1 Accent 5" w:uiPriority="21553"/>
    <w:lsdException w:name="Medium Grid 2 Accent 5" w:uiPriority="21572"/>
    <w:lsdException w:name="Medium Grid 3 Accent 5" w:uiPriority="21573"/>
    <w:lsdException w:name="Dark List Accent 5" w:uiPriority="21652"/>
    <w:lsdException w:name="Colorful Shading Accent 5" w:uiPriority="21653"/>
    <w:lsdException w:name="Colorful List Accent 5" w:uiPriority="21768"/>
    <w:lsdException w:name="Colorful Grid Accent 5" w:uiPriority="21769"/>
    <w:lsdException w:name="Light Shading Accent 6" w:uiPriority="8322"/>
    <w:lsdException w:name="Light List Accent 6" w:uiPriority="8323"/>
    <w:lsdException w:name="Light Grid Accent 6" w:uiPriority="8324"/>
    <w:lsdException w:name="Medium Shading 1 Accent 6" w:uiPriority="8325"/>
    <w:lsdException w:name="Medium Shading 2 Accent 6" w:uiPriority="20848"/>
    <w:lsdException w:name="Medium List 1 Accent 6" w:uiPriority="20849"/>
    <w:lsdException w:name="Medium List 2 Accent 6" w:uiPriority="21552"/>
    <w:lsdException w:name="Medium Grid 1 Accent 6" w:uiPriority="21553"/>
    <w:lsdException w:name="Medium Grid 2 Accent 6" w:uiPriority="21572"/>
    <w:lsdException w:name="Medium Grid 3 Accent 6" w:uiPriority="21573"/>
    <w:lsdException w:name="Dark List Accent 6" w:uiPriority="21652"/>
    <w:lsdException w:name="Colorful Shading Accent 6" w:uiPriority="21653"/>
    <w:lsdException w:name="Colorful List Accent 6" w:uiPriority="21768"/>
    <w:lsdException w:name="Colorful Grid Accent 6" w:uiPriority="21769"/>
    <w:lsdException w:name="Subtle Emphasis" w:uiPriority="307" w:qFormat="1"/>
    <w:lsdException w:name="Intense Emphasis" w:uiPriority="663" w:qFormat="1"/>
    <w:lsdException w:name="Subtle Reference" w:uiPriority="1585" w:qFormat="1"/>
    <w:lsdException w:name="Intense Reference" w:uiPriority="1634" w:qFormat="1"/>
    <w:lsdException w:name="Book Title" w:uiPriority="1635" w:qFormat="1"/>
    <w:lsdException w:name="Bibliography" w:semiHidden="1" w:uiPriority="1909" w:unhideWhenUsed="1"/>
    <w:lsdException w:name="TOC Heading" w:semiHidden="1" w:uiPriority="1911" w:unhideWhenUsed="1" w:qFormat="1"/>
    <w:lsdException w:name="Plain Table 1" w:uiPriority="5171"/>
    <w:lsdException w:name="Plain Table 2" w:uiPriority="5430"/>
    <w:lsdException w:name="Plain Table 3" w:uiPriority="5431"/>
    <w:lsdException w:name="Plain Table 4" w:uiPriority="5444"/>
    <w:lsdException w:name="Plain Table 5" w:uiPriority="5445"/>
    <w:lsdException w:name="Grid Table Light" w:uiPriority="5170"/>
    <w:lsdException w:name="Grid Table 1 Light" w:uiPriority="5494"/>
    <w:lsdException w:name="Grid Table 2" w:uiPriority="5495"/>
    <w:lsdException w:name="Grid Table 3" w:uiPriority="5508"/>
    <w:lsdException w:name="Grid Table 4" w:uiPriority="5509"/>
    <w:lsdException w:name="Grid Table 5 Dark" w:uiPriority="5684"/>
    <w:lsdException w:name="Grid Table 6 Colorful" w:uiPriority="5685"/>
    <w:lsdException w:name="Grid Table 7 Colorful" w:uiPriority="6406"/>
    <w:lsdException w:name="Grid Table 1 Light Accent 1" w:uiPriority="5494"/>
    <w:lsdException w:name="Grid Table 2 Accent 1" w:uiPriority="5495"/>
    <w:lsdException w:name="Grid Table 3 Accent 1" w:uiPriority="5508"/>
    <w:lsdException w:name="Grid Table 4 Accent 1" w:uiPriority="5509"/>
    <w:lsdException w:name="Grid Table 5 Dark Accent 1" w:uiPriority="5684"/>
    <w:lsdException w:name="Grid Table 6 Colorful Accent 1" w:uiPriority="5685"/>
    <w:lsdException w:name="Grid Table 7 Colorful Accent 1" w:uiPriority="6406"/>
    <w:lsdException w:name="Grid Table 1 Light Accent 2" w:uiPriority="5494"/>
    <w:lsdException w:name="Grid Table 2 Accent 2" w:uiPriority="5495"/>
    <w:lsdException w:name="Grid Table 3 Accent 2" w:uiPriority="5508"/>
    <w:lsdException w:name="Grid Table 4 Accent 2" w:uiPriority="5509"/>
    <w:lsdException w:name="Grid Table 5 Dark Accent 2" w:uiPriority="5684"/>
    <w:lsdException w:name="Grid Table 6 Colorful Accent 2" w:uiPriority="5685"/>
    <w:lsdException w:name="Grid Table 7 Colorful Accent 2" w:uiPriority="6406"/>
    <w:lsdException w:name="Grid Table 1 Light Accent 3" w:uiPriority="5494"/>
    <w:lsdException w:name="Grid Table 2 Accent 3" w:uiPriority="5495"/>
    <w:lsdException w:name="Grid Table 3 Accent 3" w:uiPriority="5508"/>
    <w:lsdException w:name="Grid Table 4 Accent 3" w:uiPriority="5509"/>
    <w:lsdException w:name="Grid Table 5 Dark Accent 3" w:uiPriority="5684"/>
    <w:lsdException w:name="Grid Table 6 Colorful Accent 3" w:uiPriority="5685"/>
    <w:lsdException w:name="Grid Table 7 Colorful Accent 3" w:uiPriority="6406"/>
    <w:lsdException w:name="Grid Table 1 Light Accent 4" w:uiPriority="5494"/>
    <w:lsdException w:name="Grid Table 2 Accent 4" w:uiPriority="5495"/>
    <w:lsdException w:name="Grid Table 3 Accent 4" w:uiPriority="5508"/>
    <w:lsdException w:name="Grid Table 4 Accent 4" w:uiPriority="5509"/>
    <w:lsdException w:name="Grid Table 5 Dark Accent 4" w:uiPriority="5684"/>
    <w:lsdException w:name="Grid Table 6 Colorful Accent 4" w:uiPriority="5685"/>
    <w:lsdException w:name="Grid Table 7 Colorful Accent 4" w:uiPriority="6406"/>
    <w:lsdException w:name="Grid Table 1 Light Accent 5" w:uiPriority="5494"/>
    <w:lsdException w:name="Grid Table 2 Accent 5" w:uiPriority="5495"/>
    <w:lsdException w:name="Grid Table 3 Accent 5" w:uiPriority="5508"/>
    <w:lsdException w:name="Grid Table 4 Accent 5" w:uiPriority="5509"/>
    <w:lsdException w:name="Grid Table 5 Dark Accent 5" w:uiPriority="5684"/>
    <w:lsdException w:name="Grid Table 6 Colorful Accent 5" w:uiPriority="5685"/>
    <w:lsdException w:name="Grid Table 7 Colorful Accent 5" w:uiPriority="6406"/>
    <w:lsdException w:name="Grid Table 1 Light Accent 6" w:uiPriority="5494"/>
    <w:lsdException w:name="Grid Table 2 Accent 6" w:uiPriority="5495"/>
    <w:lsdException w:name="Grid Table 3 Accent 6" w:uiPriority="5508"/>
    <w:lsdException w:name="Grid Table 4 Accent 6" w:uiPriority="5509"/>
    <w:lsdException w:name="Grid Table 5 Dark Accent 6" w:uiPriority="5684"/>
    <w:lsdException w:name="Grid Table 6 Colorful Accent 6" w:uiPriority="5685"/>
    <w:lsdException w:name="Grid Table 7 Colorful Accent 6" w:uiPriority="6406"/>
    <w:lsdException w:name="List Table 1 Light" w:uiPriority="5494"/>
    <w:lsdException w:name="List Table 2" w:uiPriority="5495"/>
    <w:lsdException w:name="List Table 3" w:uiPriority="5508"/>
    <w:lsdException w:name="List Table 4" w:uiPriority="5509"/>
    <w:lsdException w:name="List Table 5 Dark" w:uiPriority="5684"/>
    <w:lsdException w:name="List Table 6 Colorful" w:uiPriority="5685"/>
    <w:lsdException w:name="List Table 7 Colorful" w:uiPriority="6406"/>
    <w:lsdException w:name="List Table 1 Light Accent 1" w:uiPriority="5494"/>
    <w:lsdException w:name="List Table 2 Accent 1" w:uiPriority="5495"/>
    <w:lsdException w:name="List Table 3 Accent 1" w:uiPriority="5508"/>
    <w:lsdException w:name="List Table 4 Accent 1" w:uiPriority="5509"/>
    <w:lsdException w:name="List Table 5 Dark Accent 1" w:uiPriority="5684"/>
    <w:lsdException w:name="List Table 6 Colorful Accent 1" w:uiPriority="5685"/>
    <w:lsdException w:name="List Table 7 Colorful Accent 1" w:uiPriority="6406"/>
    <w:lsdException w:name="List Table 1 Light Accent 2" w:uiPriority="5494"/>
    <w:lsdException w:name="List Table 2 Accent 2" w:uiPriority="5495"/>
    <w:lsdException w:name="List Table 3 Accent 2" w:uiPriority="5508"/>
    <w:lsdException w:name="List Table 4 Accent 2" w:uiPriority="5509"/>
    <w:lsdException w:name="List Table 5 Dark Accent 2" w:uiPriority="5684"/>
    <w:lsdException w:name="List Table 6 Colorful Accent 2" w:uiPriority="5685"/>
    <w:lsdException w:name="List Table 7 Colorful Accent 2" w:uiPriority="6406"/>
    <w:lsdException w:name="List Table 1 Light Accent 3" w:uiPriority="5494"/>
    <w:lsdException w:name="List Table 2 Accent 3" w:uiPriority="5495"/>
    <w:lsdException w:name="List Table 3 Accent 3" w:uiPriority="5508"/>
    <w:lsdException w:name="List Table 4 Accent 3" w:uiPriority="5509"/>
    <w:lsdException w:name="List Table 5 Dark Accent 3" w:uiPriority="5684"/>
    <w:lsdException w:name="List Table 6 Colorful Accent 3" w:uiPriority="5685"/>
    <w:lsdException w:name="List Table 7 Colorful Accent 3" w:uiPriority="6406"/>
    <w:lsdException w:name="List Table 1 Light Accent 4" w:uiPriority="5494"/>
    <w:lsdException w:name="List Table 2 Accent 4" w:uiPriority="5495"/>
    <w:lsdException w:name="List Table 3 Accent 4" w:uiPriority="5508"/>
    <w:lsdException w:name="List Table 4 Accent 4" w:uiPriority="5509"/>
    <w:lsdException w:name="List Table 5 Dark Accent 4" w:uiPriority="5684"/>
    <w:lsdException w:name="List Table 6 Colorful Accent 4" w:uiPriority="5685"/>
    <w:lsdException w:name="List Table 7 Colorful Accent 4" w:uiPriority="6406"/>
    <w:lsdException w:name="List Table 1 Light Accent 5" w:uiPriority="5494"/>
    <w:lsdException w:name="List Table 2 Accent 5" w:uiPriority="5495"/>
    <w:lsdException w:name="List Table 3 Accent 5" w:uiPriority="5508"/>
    <w:lsdException w:name="List Table 4 Accent 5" w:uiPriority="5509"/>
    <w:lsdException w:name="List Table 5 Dark Accent 5" w:uiPriority="5684"/>
    <w:lsdException w:name="List Table 6 Colorful Accent 5" w:uiPriority="5685"/>
    <w:lsdException w:name="List Table 7 Colorful Accent 5" w:uiPriority="6406"/>
    <w:lsdException w:name="List Table 1 Light Accent 6" w:uiPriority="5494"/>
    <w:lsdException w:name="List Table 2 Accent 6" w:uiPriority="5495"/>
    <w:lsdException w:name="List Table 3 Accent 6" w:uiPriority="5508"/>
    <w:lsdException w:name="List Table 4 Accent 6" w:uiPriority="5509"/>
    <w:lsdException w:name="List Table 5 Dark Accent 6" w:uiPriority="5684"/>
    <w:lsdException w:name="List Table 6 Colorful Accent 6" w:uiPriority="5685"/>
    <w:lsdException w:name="List Table 7 Colorful Accent 6" w:uiPriority="6406"/>
  </w:latentStyles>
  <w:style w:type="paragraph" w:default="1" w:styleId="a">
    <w:name w:val="Normal"/>
    <w:qFormat/>
    <w:pPr>
      <w:jc w:val="both"/>
      <w:spacing w:after="200"/>
    </w:pPr>
    <w:rPr>
      <w:rFonts w:ascii="Times" w:hAnsi="Times"/>
      <w:sz w:val="24"/>
    </w:rPr>
  </w:style>
  <w:style w:type="paragraph" w:styleId="1">
    <w:name w:val="heading 1"/>
    <w:basedOn w:val="a"/>
    <w:next w:val="a"/>
    <w:qFormat/>
    <w:pPr>
      <w:ind w:left="480" w:hanging="240"/>
      <w:keepNext/>
      <w:outlineLvl w:val="0"/>
      <w:spacing w:after="60" w:before="180"/>
    </w:pPr>
    <w:rPr>
      <w:rFonts w:ascii="Myriad Pro Light" w:hAnsi="Myriad Pro Light" w:cs="Arial"/>
      <w:b/>
      <w:bCs/>
      <w:sz w:val="22"/>
      <w:szCs w:val="32"/>
      <w:kern w:val="32"/>
    </w:rPr>
  </w:style>
  <w:style w:type="paragraph" w:styleId="2">
    <w:name w:val="heading 2"/>
    <w:basedOn w:val="a"/>
    <w:next w:val="a"/>
    <w:qFormat/>
    <w:pPr>
      <w:keepNext/>
      <w:outlineLvl w:val="1"/>
      <w:spacing w:after="60" w:before="60"/>
    </w:pPr>
    <w:rPr>
      <w:rFonts w:ascii="Myriad Pro Light" w:hAnsi="Myriad Pro Light" w:cs="Arial"/>
      <w:b/>
      <w:bCs/>
      <w:iCs/>
      <w:sz w:val="20"/>
      <w:szCs w:val="28"/>
    </w:rPr>
  </w:style>
  <w:style w:type="paragraph" w:styleId="3">
    <w:name w:val="heading 3"/>
    <w:basedOn w:val="a"/>
    <w:next w:val="a"/>
    <w:qFormat/>
    <w:pPr>
      <w:ind w:left="180"/>
      <w:keepNext/>
      <w:outlineLvl w:val="2"/>
      <w:spacing w:after="60" w:before="60"/>
    </w:pPr>
    <w:rPr>
      <w:rFonts w:ascii="Myriad Pro Light" w:hAnsi="Myriad Pro Light" w:cs="Arial"/>
      <w:b/>
      <w:bCs/>
      <w:sz w:val="20"/>
      <w:szCs w:val="26"/>
    </w:rPr>
  </w:style>
  <w:style w:type="paragraph" w:styleId="4">
    <w:name w:val="heading 4"/>
    <w:uiPriority w:val="9"/>
    <w:basedOn w:val="a"/>
    <w:next w:val="a"/>
    <w:link w:val="4Char"/>
    <w:qFormat/>
    <w:semiHidden/>
    <w:unhideWhenUsed/>
    <w:pPr>
      <w:ind w:leftChars="400" w:left="400" w:hangingChars="200" w:hanging="2000"/>
      <w:keepNext/>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color="auto"/>
    </w:rPr>
  </w:style>
  <w:style w:type="paragraph" w:styleId="a4">
    <w:name w:val="Body Text"/>
    <w:basedOn w:val="a"/>
    <w:pPr>
      <w:jc w:val="center"/>
    </w:pPr>
    <w:rPr>
      <w:b/>
      <w:sz w:val="40"/>
    </w:rPr>
  </w:style>
  <w:style w:type="paragraph" w:styleId="a5">
    <w:name w:val="footnote text"/>
    <w:basedOn w:val="a"/>
    <w:next w:val="a"/>
    <w:semiHidden/>
  </w:style>
  <w:style w:type="paragraph" w:customStyle="1" w:styleId="TFReferencesSection">
    <w:name w:val="TF_References_Section"/>
    <w:basedOn w:val="a"/>
    <w:next w:val="a"/>
    <w:autoRedefine/>
    <w:pPr>
      <w:ind w:firstLine="187"/>
      <w:spacing w:after="0"/>
    </w:pPr>
    <w:rPr>
      <w:rFonts w:ascii="Arno Pro" w:hAnsi="Arno Pro"/>
      <w:sz w:val="17"/>
      <w:szCs w:val="14"/>
      <w:kern w:val="19"/>
    </w:rPr>
  </w:style>
  <w:style w:type="paragraph" w:customStyle="1" w:styleId="TAMainText">
    <w:name w:val="TA_Main_Text"/>
    <w:basedOn w:val="a"/>
    <w:autoRedefine/>
    <w:pPr>
      <w:ind w:firstLine="180"/>
      <w:spacing w:after="60"/>
    </w:pPr>
    <w:rPr>
      <w:rFonts w:ascii="Arno Pro" w:hAnsi="Arno Pro"/>
      <w:sz w:val="21"/>
      <w:kern w:val="21"/>
    </w:rPr>
  </w:style>
  <w:style w:type="paragraph" w:customStyle="1" w:styleId="BATitle">
    <w:name w:val="BA_Title"/>
    <w:basedOn w:val="a"/>
    <w:next w:val="a"/>
    <w:autoRedefine/>
    <w:pPr>
      <w:jc w:val="left"/>
      <w:spacing w:after="180" w:before="1400"/>
    </w:pPr>
    <w:rPr>
      <w:rFonts w:ascii="Myriad Pro Light" w:hAnsi="Myriad Pro Light"/>
      <w:b/>
      <w:sz w:val="34"/>
      <w:kern w:val="36"/>
    </w:rPr>
  </w:style>
  <w:style w:type="paragraph" w:customStyle="1" w:styleId="BBAuthorName">
    <w:name w:val="BB_Author_Name"/>
    <w:basedOn w:val="a"/>
    <w:next w:val="a"/>
    <w:autoRedefine/>
    <w:pPr>
      <w:jc w:val="left"/>
      <w:spacing w:after="180"/>
    </w:pPr>
    <w:rPr>
      <w:rFonts w:ascii="Arno Pro" w:hAnsi="Arno Pro"/>
      <w:kern w:val="26"/>
    </w:rPr>
  </w:style>
  <w:style w:type="paragraph" w:customStyle="1" w:styleId="BCAuthorAddress">
    <w:name w:val="BC_Author_Address"/>
    <w:basedOn w:val="a"/>
    <w:next w:val="a"/>
    <w:autoRedefine/>
    <w:pPr>
      <w:jc w:val="left"/>
      <w:spacing w:after="60"/>
    </w:pPr>
    <w:rPr>
      <w:lang w:eastAsia="ko-KR"/>
      <w:rFonts w:ascii="KoPubWorldBatang Light" w:eastAsia="KoPubWorldBatang Light" w:hAnsi="KoPubWorldBatang Light" w:cs="KoPubWorldBatang Light"/>
      <w:sz w:val="20"/>
      <w:kern w:val="22"/>
    </w:rPr>
  </w:style>
  <w:style w:type="paragraph" w:customStyle="1" w:styleId="BIEmailAddress">
    <w:name w:val="BI_Email_Address"/>
    <w:basedOn w:val="a"/>
    <w:next w:val="a"/>
    <w:autoRedefine/>
    <w:pPr>
      <w:jc w:val="left"/>
      <w:spacing w:after="100"/>
    </w:pPr>
    <w:rPr>
      <w:rFonts w:ascii="Arno Pro" w:hAnsi="Arno Pro"/>
      <w:sz w:val="18"/>
    </w:rPr>
  </w:style>
  <w:style w:type="paragraph" w:customStyle="1" w:styleId="AIReceivedDate">
    <w:name w:val="AI_Received_Date"/>
    <w:basedOn w:val="a"/>
    <w:next w:val="a"/>
    <w:autoRedefine/>
    <w:pPr>
      <w:jc w:val="left"/>
      <w:spacing w:after="100"/>
    </w:pPr>
    <w:rPr>
      <w:rFonts w:ascii="Arno Pro" w:hAnsi="Arno Pro"/>
      <w:sz w:val="18"/>
    </w:rPr>
  </w:style>
  <w:style w:type="paragraph" w:customStyle="1" w:styleId="BDAbstract">
    <w:name w:val="BD_Abstract"/>
    <w:basedOn w:val="a"/>
    <w:next w:val="TAMainText"/>
    <w:link w:val="AuthorInformationTitle"/>
    <w:autoRedefine/>
    <w:pPr>
      <w:pBdr>
        <w:top w:val="single" w:sz="4" w:space="1" w:color="auto"/>
        <w:bottom w:val="single" w:sz="4" w:space="1" w:color="auto"/>
      </w:pBdr>
      <w:spacing w:after="600" w:before="100"/>
    </w:pPr>
    <w:rPr>
      <w:rFonts w:ascii="Arno Pro" w:hAnsi="Arno Pro"/>
      <w:sz w:val="21"/>
      <w:kern w:val="21"/>
    </w:rPr>
  </w:style>
  <w:style w:type="paragraph" w:customStyle="1" w:styleId="SectionContent">
    <w:name w:val="Section_Content"/>
    <w:basedOn w:val="a"/>
    <w:next w:val="a"/>
    <w:autoRedefine/>
    <w:pPr>
      <w:spacing w:after="0"/>
    </w:pPr>
    <w:rPr>
      <w:rFonts w:ascii="Arno Pro" w:hAnsi="Arno Pro"/>
      <w:sz w:val="20"/>
      <w:kern w:val="20"/>
    </w:rPr>
  </w:style>
  <w:style w:type="paragraph" w:customStyle="1" w:styleId="VCSchemeTitle">
    <w:name w:val="VC_Scheme_Title"/>
    <w:basedOn w:val="a"/>
    <w:next w:val="a"/>
    <w:autoRedefine/>
    <w:pPr>
      <w:spacing w:after="180"/>
    </w:pPr>
    <w:rPr>
      <w:rFonts w:ascii="Arno Pro" w:hAnsi="Arno Pro"/>
      <w:b/>
      <w:sz w:val="21"/>
      <w:kern w:val="21"/>
    </w:rPr>
  </w:style>
  <w:style w:type="paragraph" w:customStyle="1" w:styleId="VDTableTitle">
    <w:name w:val="VD_Table_Title"/>
    <w:basedOn w:val="a"/>
    <w:next w:val="a"/>
    <w:autoRedefine/>
    <w:pPr>
      <w:spacing w:after="180"/>
    </w:pPr>
    <w:rPr>
      <w:rFonts w:ascii="Arno Pro" w:hAnsi="Arno Pro"/>
      <w:b/>
      <w:sz w:val="19"/>
      <w:szCs w:val="19"/>
      <w:kern w:val="21"/>
    </w:rPr>
  </w:style>
  <w:style w:type="paragraph" w:customStyle="1" w:styleId="VAFigureCaption">
    <w:name w:val="VA_Figure_Caption"/>
    <w:basedOn w:val="a"/>
    <w:next w:val="a"/>
    <w:autoRedefine/>
    <w:pPr>
      <w:spacing w:after="120" w:before="200"/>
    </w:pPr>
    <w:rPr>
      <w:rFonts w:ascii="Arno Pro" w:hAnsi="Arno Pro"/>
      <w:sz w:val="20"/>
      <w:kern w:val="20"/>
    </w:rPr>
  </w:style>
  <w:style w:type="paragraph" w:customStyle="1" w:styleId="VBChartTitle">
    <w:name w:val="VB_Chart_Title"/>
    <w:basedOn w:val="a"/>
    <w:next w:val="a"/>
    <w:autoRedefine/>
    <w:pPr>
      <w:spacing w:after="180"/>
    </w:pPr>
    <w:rPr>
      <w:rFonts w:ascii="Arno Pro" w:hAnsi="Arno Pro"/>
      <w:b/>
      <w:sz w:val="19"/>
      <w:kern w:val="21"/>
    </w:rPr>
  </w:style>
  <w:style w:type="paragraph" w:customStyle="1" w:styleId="FETableFootnote">
    <w:name w:val="FE_Table_Footnote"/>
    <w:basedOn w:val="a"/>
    <w:next w:val="a"/>
    <w:autoRedefine/>
    <w:pPr>
      <w:ind w:firstLine="187"/>
      <w:spacing w:after="120" w:before="60"/>
    </w:pPr>
    <w:rPr>
      <w:rFonts w:ascii="Arno Pro" w:hAnsi="Arno Pro"/>
      <w:sz w:val="20"/>
    </w:rPr>
  </w:style>
  <w:style w:type="paragraph" w:customStyle="1" w:styleId="FCChartFootnote">
    <w:name w:val="FC_Chart_Footnote"/>
    <w:basedOn w:val="a"/>
    <w:next w:val="a"/>
    <w:autoRedefine/>
    <w:pPr>
      <w:ind w:firstLine="187"/>
      <w:spacing w:after="120" w:before="60"/>
    </w:pPr>
    <w:rPr>
      <w:rFonts w:ascii="Arno Pro" w:hAnsi="Arno Pro"/>
      <w:sz w:val="20"/>
    </w:rPr>
  </w:style>
  <w:style w:type="paragraph" w:customStyle="1" w:styleId="FDSchemeFootnote">
    <w:name w:val="FD_Scheme_Footnote"/>
    <w:basedOn w:val="a"/>
    <w:next w:val="a"/>
    <w:autoRedefine/>
    <w:pPr>
      <w:ind w:firstLine="187"/>
      <w:spacing w:after="120" w:before="60"/>
    </w:pPr>
    <w:rPr>
      <w:rFonts w:ascii="Arno Pro" w:hAnsi="Arno Pro"/>
      <w:sz w:val="20"/>
    </w:rPr>
  </w:style>
  <w:style w:type="paragraph" w:customStyle="1" w:styleId="TCTableBody">
    <w:name w:val="TC_Table_Body"/>
    <w:basedOn w:val="a"/>
    <w:next w:val="a"/>
    <w:autoRedefine/>
    <w:pPr>
      <w:spacing w:after="60" w:before="20"/>
    </w:pPr>
    <w:rPr>
      <w:rFonts w:ascii="Arno Pro" w:hAnsi="Arno Pro"/>
      <w:sz w:val="20"/>
      <w:kern w:val="20"/>
    </w:rPr>
  </w:style>
  <w:style w:type="paragraph" w:customStyle="1" w:styleId="BEAuthorBiography">
    <w:name w:val="BE_Author_Biography"/>
    <w:basedOn w:val="a"/>
    <w:link w:val="TCTableBodyChar"/>
    <w:autoRedefine/>
    <w:rPr>
      <w:rFonts w:ascii="Arno Pro" w:hAnsi="Arno Pro"/>
      <w:sz w:val="22"/>
    </w:rPr>
  </w:style>
  <w:style w:type="paragraph" w:customStyle="1" w:styleId="StyleBIEmailAddress95pt">
    <w:name w:val="Style BI_Email_Address + 9.5 pt"/>
    <w:basedOn w:val="BIEmailAddress"/>
    <w:pPr>
      <w:spacing w:after="60"/>
    </w:pPr>
    <w:rPr>
      <w:sz w:val="19"/>
    </w:rPr>
  </w:style>
  <w:style w:type="paragraph" w:customStyle="1" w:styleId="SNSynopsisTOC">
    <w:name w:val="SN_Synopsis_TOC"/>
    <w:basedOn w:val="a"/>
    <w:next w:val="a"/>
    <w:autoRedefine/>
    <w:pPr>
      <w:spacing w:after="60"/>
    </w:pPr>
    <w:rPr>
      <w:rFonts w:ascii="Arno Pro" w:hAnsi="Arno Pro"/>
      <w:sz w:val="20"/>
      <w:kern w:val="22"/>
    </w:rPr>
  </w:style>
  <w:style w:type="character" w:styleId="a6">
    <w:name w:val="Hyperlink"/>
    <w:rPr>
      <w:color w:val="0000FF"/>
      <w:u w:val="single" w:color="auto"/>
    </w:rPr>
  </w:style>
  <w:style w:type="paragraph" w:styleId="a7">
    <w:name w:val="footer"/>
    <w:basedOn w:val="a"/>
    <w:pPr>
      <w:tabs>
        <w:tab w:val="center" w:pos="4320"/>
        <w:tab w:val="right" w:pos="8640"/>
      </w:tabs>
    </w:pPr>
  </w:style>
  <w:style w:type="paragraph" w:customStyle="1" w:styleId="BGKeywords">
    <w:name w:val="BG_Keywords"/>
    <w:basedOn w:val="a"/>
    <w:next w:val="a"/>
    <w:autoRedefine/>
    <w:pPr>
      <w:jc w:val="left"/>
      <w:spacing w:after="220"/>
    </w:pPr>
    <w:rPr>
      <w:rFonts w:ascii="Arno Pro" w:hAnsi="Arno Pro"/>
      <w:i/>
      <w:sz w:val="20"/>
      <w:kern w:val="22"/>
    </w:rPr>
  </w:style>
  <w:style w:type="paragraph" w:customStyle="1" w:styleId="BHBriefs">
    <w:name w:val="BH_Briefs"/>
    <w:basedOn w:val="a"/>
    <w:next w:val="BDAbstract"/>
    <w:autoRedefine/>
    <w:pPr>
      <w:jc w:val="left"/>
      <w:spacing w:after="60" w:before="180"/>
    </w:pPr>
    <w:rPr>
      <w:rFonts w:ascii="Arno Pro" w:hAnsi="Arno Pro"/>
      <w:sz w:val="20"/>
      <w:kern w:val="22"/>
    </w:rPr>
  </w:style>
  <w:style w:type="character" w:styleId="a8">
    <w:name w:val="page number"/>
    <w:basedOn w:val="a0"/>
  </w:style>
  <w:style w:type="paragraph" w:styleId="a9">
    <w:name w:val="Balloon Text"/>
    <w:basedOn w:val="a"/>
    <w:semiHidden/>
    <w:rPr>
      <w:rFonts w:ascii="Tahoma" w:hAnsi="Tahoma" w:cs="Tahoma"/>
      <w:sz w:val="16"/>
      <w:szCs w:val="16"/>
    </w:rPr>
  </w:style>
  <w:style w:type="character" w:styleId="aa">
    <w:name w:val="endnote reference"/>
    <w:semiHidden/>
    <w:rPr>
      <w:rFonts w:ascii="Times" w:hAnsi="Times"/>
      <w:sz w:val="18"/>
      <w:vertAlign w:val="superscript"/>
    </w:rPr>
  </w:style>
  <w:style w:type="paragraph" w:customStyle="1" w:styleId="StyleTCTableBodyBold">
    <w:name w:val="Style TC_Table_Body + Bold"/>
    <w:basedOn w:val="TCTableBody"/>
    <w:rPr>
      <w:b/>
      <w:bCs/>
      <w:sz w:val="15"/>
      <w:kern w:val="22"/>
    </w:rPr>
  </w:style>
  <w:style w:type="paragraph" w:customStyle="1" w:styleId="BDAbstractTitle">
    <w:name w:val="BD_Abstract_Title"/>
    <w:basedOn w:val="BDAbstract"/>
    <w:link w:val="SectionSubtitle"/>
    <w:rPr>
      <w:b/>
    </w:rPr>
  </w:style>
  <w:style w:type="character" w:customStyle="1" w:styleId="BDAbstractChar">
    <w:name w:val="BD_Abstract Char"/>
    <w:link w:val="StyleTCTableBodyBoldChar"/>
    <w:rPr>
      <w:lang w:val="en-US" w:eastAsia="en-US" w:bidi="ar-SA"/>
      <w:rFonts w:ascii="Arno Pro" w:hAnsi="Arno Pro"/>
      <w:sz w:val="19"/>
      <w:kern w:val="21"/>
    </w:rPr>
  </w:style>
  <w:style w:type="character" w:customStyle="1" w:styleId="BDAbstractTitleChar">
    <w:name w:val="BD_Abstract_Title Char"/>
    <w:link w:val="SectionTitle"/>
    <w:rPr>
      <w:lang w:eastAsia="ko-KR"/>
      <w:rFonts w:ascii="Times New Roman" w:hAnsi="Times New Roman"/>
      <w:kern w:val="20"/>
    </w:rPr>
  </w:style>
  <w:style w:type="paragraph" w:customStyle="1" w:styleId="SectionTitle">
    <w:name w:val="Section_Title"/>
    <w:basedOn w:val="SectionContent"/>
    <w:link w:val="BDAbstractTitleChar"/>
    <w:autoRedefine/>
    <w:pPr>
      <w:spacing w:after="120" w:before="180"/>
    </w:pPr>
    <w:rPr>
      <w:lang w:eastAsia="ko-KR"/>
      <w:rFonts w:ascii="Times New Roman" w:hAnsi="Times New Roman"/>
    </w:rPr>
  </w:style>
  <w:style w:type="paragraph" w:customStyle="1" w:styleId="AuthorInformationTitle">
    <w:name w:val="Author_Information_Title"/>
    <w:basedOn w:val="a"/>
    <w:link w:val="BDAbstract"/>
    <w:pPr>
      <w:spacing w:after="60" w:before="180"/>
    </w:pPr>
    <w:rPr>
      <w:rFonts w:ascii="Myriad Pro Light" w:hAnsi="Myriad Pro Light"/>
      <w:b/>
      <w:sz w:val="21"/>
      <w:kern w:val="23"/>
    </w:rPr>
  </w:style>
  <w:style w:type="paragraph" w:customStyle="1" w:styleId="SectionSubtitle">
    <w:name w:val="Section_Subtitle"/>
    <w:basedOn w:val="a"/>
    <w:link w:val="BDAbstractTitle"/>
    <w:autoRedefine/>
    <w:pPr>
      <w:jc w:val="left"/>
      <w:spacing w:after="60" w:before="120"/>
    </w:pPr>
    <w:rPr>
      <w:rFonts w:ascii="Myriad Pro Light" w:hAnsi="Myriad Pro Light"/>
      <w:b/>
      <w:sz w:val="19"/>
      <w:szCs w:val="14"/>
      <w:kern w:val="21"/>
    </w:rPr>
  </w:style>
  <w:style w:type="character" w:customStyle="1" w:styleId="FAAuthorInfoSubtitleChar">
    <w:name w:val="FA_Author_Info_Subtitle Char"/>
    <w:rPr>
      <w:lang w:val="en-US" w:eastAsia="en-US" w:bidi="ar-SA"/>
      <w:rFonts w:ascii="Myriad Pro Light" w:hAnsi="Myriad Pro Light"/>
      <w:b/>
      <w:sz w:val="19"/>
      <w:szCs w:val="14"/>
      <w:kern w:val="21"/>
    </w:rPr>
  </w:style>
  <w:style w:type="character" w:customStyle="1" w:styleId="TCTableBodyChar">
    <w:name w:val="TC_Table_Body Char"/>
    <w:link w:val="BEAuthorBiography"/>
    <w:rPr>
      <w:lang w:val="en-US" w:eastAsia="en-US" w:bidi="ar-SA"/>
      <w:rFonts w:ascii="Arno Pro" w:hAnsi="Arno Pro"/>
      <w:sz w:val="18"/>
      <w:kern w:val="20"/>
    </w:rPr>
  </w:style>
  <w:style w:type="character" w:customStyle="1" w:styleId="StyleTCTableBodyBoldChar">
    <w:name w:val="Style TC_Table_Body + Bold Char"/>
    <w:link w:val="BDAbstractChar"/>
    <w:rPr>
      <w:lang w:val="en-US" w:eastAsia="en-US" w:bidi="ar-SA"/>
      <w:rFonts w:ascii="Arno Pro Bold" w:hAnsi="Arno Pro Bold"/>
      <w:b/>
      <w:bCs/>
      <w:sz w:val="18"/>
      <w:kern w:val="22"/>
    </w:rPr>
  </w:style>
  <w:style w:type="paragraph" w:styleId="ab">
    <w:name w:val="List Paragraph"/>
    <w:uiPriority w:val="34"/>
    <w:basedOn w:val="a"/>
    <w:qFormat/>
    <w:pPr>
      <w:ind w:left="720"/>
      <w:contextualSpacing/>
    </w:pPr>
  </w:style>
  <w:style w:type="paragraph" w:styleId="ac">
    <w:name w:val="header"/>
    <w:uiPriority w:val="99"/>
    <w:basedOn w:val="a"/>
    <w:link w:val="Char"/>
    <w:unhideWhenUsed/>
    <w:pPr>
      <w:tabs>
        <w:tab w:val="center" w:pos="4680"/>
        <w:tab w:val="right" w:pos="9360"/>
      </w:tabs>
      <w:spacing w:after="0"/>
    </w:pPr>
  </w:style>
  <w:style w:type="character" w:customStyle="1" w:styleId="Char">
    <w:name w:val="머리글 Char"/>
    <w:uiPriority w:val="99"/>
    <w:basedOn w:val="a0"/>
    <w:link w:val="ac"/>
    <w:rPr>
      <w:rFonts w:ascii="Times" w:hAnsi="Times"/>
      <w:sz w:val="24"/>
    </w:rPr>
  </w:style>
  <w:style w:type="character" w:styleId="ad">
    <w:name w:val="footnote reference"/>
    <w:uiPriority w:val="99"/>
    <w:basedOn w:val="a0"/>
    <w:semiHidden/>
    <w:unhideWhenUsed/>
    <w:rPr>
      <w:vertAlign w:val="superscript"/>
    </w:rPr>
  </w:style>
  <w:style w:type="character" w:styleId="ae">
    <w:name w:val="Placeholder Text"/>
    <w:uiPriority w:val="99"/>
    <w:basedOn w:val="a0"/>
    <w:semiHidden/>
    <w:rPr>
      <w:color w:val="808080"/>
    </w:rPr>
  </w:style>
  <w:style w:type="character" w:customStyle="1" w:styleId="mord">
    <w:name w:val="mord"/>
    <w:basedOn w:val="a0"/>
  </w:style>
  <w:style w:type="character" w:customStyle="1" w:styleId="vlist-s">
    <w:name w:val="vlist-s"/>
    <w:basedOn w:val="a0"/>
  </w:style>
  <w:style w:type="character" w:customStyle="1" w:styleId="mrel">
    <w:name w:val="mrel"/>
    <w:basedOn w:val="a0"/>
  </w:style>
  <w:style w:type="character" w:customStyle="1" w:styleId="mbin">
    <w:name w:val="mbin"/>
    <w:basedOn w:val="a0"/>
  </w:style>
  <w:style w:type="character" w:customStyle="1" w:styleId="mpunct">
    <w:name w:val="mpunct"/>
    <w:basedOn w:val="a0"/>
  </w:style>
  <w:style w:type="character" w:styleId="af">
    <w:name w:val="annotation reference"/>
    <w:uiPriority w:val="99"/>
    <w:basedOn w:val="a0"/>
    <w:semiHidden/>
    <w:unhideWhenUsed/>
    <w:rPr>
      <w:sz w:val="18"/>
      <w:szCs w:val="18"/>
    </w:rPr>
  </w:style>
  <w:style w:type="paragraph" w:styleId="af0">
    <w:name w:val="annotation text"/>
    <w:uiPriority w:val="99"/>
    <w:basedOn w:val="a"/>
    <w:link w:val="Char0"/>
    <w:semiHidden/>
    <w:unhideWhenUsed/>
    <w:pPr>
      <w:jc w:val="left"/>
    </w:pPr>
  </w:style>
  <w:style w:type="character" w:customStyle="1" w:styleId="Char0">
    <w:name w:val="메모 텍스트 Char"/>
    <w:uiPriority w:val="99"/>
    <w:basedOn w:val="a0"/>
    <w:link w:val="af0"/>
    <w:semiHidden/>
    <w:rPr>
      <w:rFonts w:ascii="Times" w:hAnsi="Times"/>
      <w:sz w:val="24"/>
    </w:rPr>
  </w:style>
  <w:style w:type="paragraph" w:styleId="af1">
    <w:name w:val="annotation subject"/>
    <w:uiPriority w:val="99"/>
    <w:basedOn w:val="af0"/>
    <w:next w:val="af0"/>
    <w:link w:val="Char1"/>
    <w:semiHidden/>
    <w:unhideWhenUsed/>
    <w:rPr>
      <w:b/>
      <w:bCs/>
    </w:rPr>
  </w:style>
  <w:style w:type="character" w:customStyle="1" w:styleId="Char1">
    <w:name w:val="메모 주제 Char"/>
    <w:uiPriority w:val="99"/>
    <w:basedOn w:val="Char0"/>
    <w:link w:val="af1"/>
    <w:semiHidden/>
    <w:rPr>
      <w:rFonts w:ascii="Times" w:hAnsi="Times"/>
      <w:b/>
      <w:bCs/>
      <w:sz w:val="24"/>
    </w:rPr>
  </w:style>
  <w:style w:type="paragraph" w:customStyle="1" w:styleId="msonormal0">
    <w:name w:val="msonormal"/>
    <w:basedOn w:val="a"/>
    <w:pPr>
      <w:jc w:val="left"/>
      <w:spacing w:after="100" w:afterAutospacing="1" w:before="100" w:beforeAutospacing="1"/>
    </w:pPr>
    <w:rPr>
      <w:lang w:eastAsia="ko-KR"/>
      <w:rFonts w:ascii="굴림" w:eastAsia="굴림" w:hAnsi="굴림" w:cs="굴림"/>
      <w:szCs w:val="24"/>
    </w:rPr>
  </w:style>
  <w:style w:type="character" w:customStyle="1" w:styleId="4Char">
    <w:name w:val="제목 4 Char"/>
    <w:uiPriority w:val="9"/>
    <w:basedOn w:val="a0"/>
    <w:link w:val="4"/>
    <w:semiHidden/>
    <w:rPr>
      <w:rFonts w:ascii="Times" w:hAnsi="Times"/>
      <w:b/>
      <w:bCs/>
      <w:sz w:val="24"/>
    </w:rPr>
  </w:style>
  <w:style w:type="paragraph" w:customStyle="1" w:styleId="b0">
    <w:name w:val="바탕글"/>
    <w:pPr>
      <w:ind w:left="0" w:right="0" w:firstLine="0"/>
      <w:autoSpaceDE w:val="off"/>
      <w:autoSpaceDN w:val="off"/>
      <w:widowControl w:val="off"/>
      <w:wordWrap w:val="off"/>
      <w:jc w:val="both"/>
      <w:pBdr>
        <w:top w:val="none" w:sz="2" w:space="0" w:color="000000"/>
        <w:left w:val="none" w:sz="2" w:space="0" w:color="000000"/>
        <w:bottom w:val="none" w:sz="2" w:space="0" w:color="000000"/>
        <w:right w:val="none" w:sz="2" w:space="0" w:color="000000"/>
      </w:pBdr>
      <w:spacing w:after="0" w:before="0" w:line="384" w:lineRule="auto"/>
      <w:textAlignment w:val="baseline"/>
    </w:pPr>
    <w:rPr>
      <w:rFonts w:ascii="함초롬바탕" w:eastAsia="함초롬바탕"/>
      <w:strike/>
      <w:color w:val="000000"/>
      <w:sz w:val="20"/>
      <w:shd w:val="clear" w:color="999999" w:fil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1" Type="http://schemas.openxmlformats.org/officeDocument/2006/relationships/image" Target="media/image1.emf" /><Relationship Id="rId2" Type="http://schemas.openxmlformats.org/officeDocument/2006/relationships/image" Target="media/image2.emf" /><Relationship Id="rId3" Type="http://schemas.openxmlformats.org/officeDocument/2006/relationships/image" Target="media/image3.emf" /><Relationship Id="rId4" Type="http://schemas.openxmlformats.org/officeDocument/2006/relationships/image" Target="media/image4.png" /><Relationship Id="rId5" Type="http://schemas.openxmlformats.org/officeDocument/2006/relationships/image" Target="media/image5.png" /><Relationship Id="rId9" Type="http://schemas.openxmlformats.org/officeDocument/2006/relationships/styles" Target="styles.xml" /><Relationship Id="rId10" Type="http://schemas.openxmlformats.org/officeDocument/2006/relationships/settings" Target="settings.xml" /><Relationship Id="rId11" Type="http://schemas.openxmlformats.org/officeDocument/2006/relationships/fontTable" Target="fontTable.xml" /><Relationship Id="rId12" Type="http://schemas.openxmlformats.org/officeDocument/2006/relationships/webSettings" Target="webSettings.xml" /><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Gothic"/>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mbria"/>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Company>ACS</Company>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전민규</dc:creator>
  <cp:keywords/>
  <dc:description/>
  <cp:lastModifiedBy>user</cp:lastModifiedBy>
  <cp:revision>1</cp:revision>
  <dcterms:created xsi:type="dcterms:W3CDTF">2024-04-05T02:45:00Z</dcterms:created>
  <dcterms:modified xsi:type="dcterms:W3CDTF">2025-11-14T03:56:49Z</dcterms:modified>
  <cp:lastPrinted>2025-06-22T07:48:00Z</cp:lastPrinted>
  <cp:version>1200.0100.01</cp:version>
</cp:coreProperties>
</file>